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005867793"/>
        <w:docPartObj>
          <w:docPartGallery w:val="Cover Pages"/>
          <w:docPartUnique/>
        </w:docPartObj>
      </w:sdtPr>
      <w:sdtEndPr>
        <w:rPr>
          <w:rFonts w:ascii="Calibri" w:hAnsi="Calibri" w:cs="Calibri"/>
        </w:rPr>
      </w:sdtEndPr>
      <w:sdtContent>
        <w:p w14:paraId="5B3FECC9" w14:textId="1B1F61DF" w:rsidR="00BF6F06" w:rsidRDefault="00BF6F06">
          <w:r>
            <w:rPr>
              <w:noProof/>
            </w:rPr>
            <mc:AlternateContent>
              <mc:Choice Requires="wpg">
                <w:drawing>
                  <wp:anchor distT="0" distB="0" distL="114300" distR="114300" simplePos="0" relativeHeight="251659264" behindDoc="1" locked="0" layoutInCell="1" allowOverlap="1" wp14:anchorId="3E6BBF93" wp14:editId="46A13B1A">
                    <wp:simplePos x="0" y="0"/>
                    <wp:positionH relativeFrom="page">
                      <wp:align>center</wp:align>
                    </wp:positionH>
                    <wp:positionV relativeFrom="page">
                      <wp:align>center</wp:align>
                    </wp:positionV>
                    <wp:extent cx="6864824" cy="9123528"/>
                    <wp:effectExtent l="0" t="0" r="2540" b="635"/>
                    <wp:wrapNone/>
                    <wp:docPr id="193" name="Grupo 198"/>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á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á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34C6C87E" w14:textId="1B775F2B" w:rsidR="00BF6F06" w:rsidRDefault="00BF6F06">
                                      <w:pPr>
                                        <w:pStyle w:val="Sinespaciado"/>
                                        <w:spacing w:before="120"/>
                                        <w:jc w:val="center"/>
                                        <w:rPr>
                                          <w:color w:val="FFFFFF" w:themeColor="background1"/>
                                        </w:rPr>
                                      </w:pPr>
                                      <w:r>
                                        <w:rPr>
                                          <w:color w:val="FFFFFF" w:themeColor="background1"/>
                                        </w:rPr>
                                        <w:t>Mg. Viviana Mariel Sanabria Vazquez</w:t>
                                      </w:r>
                                    </w:p>
                                  </w:sdtContent>
                                </w:sdt>
                                <w:p w14:paraId="49065839" w14:textId="32A1082F" w:rsidR="00BF6F06" w:rsidRDefault="00000000">
                                  <w:pPr>
                                    <w:pStyle w:val="Sinespaciado"/>
                                    <w:spacing w:before="120"/>
                                    <w:jc w:val="center"/>
                                    <w:rPr>
                                      <w:color w:val="FFFFFF" w:themeColor="background1"/>
                                    </w:rPr>
                                  </w:pPr>
                                  <w:sdt>
                                    <w:sdtPr>
                                      <w:rPr>
                                        <w:caps/>
                                        <w:color w:val="FFFFFF" w:themeColor="background1"/>
                                      </w:rPr>
                                      <w:alias w:val="Compañía"/>
                                      <w:tag w:val=""/>
                                      <w:id w:val="1618182777"/>
                                      <w:dataBinding w:prefixMappings="xmlns:ns0='http://schemas.openxmlformats.org/officeDocument/2006/extended-properties' " w:xpath="/ns0:Properties[1]/ns0:Company[1]" w:storeItemID="{6668398D-A668-4E3E-A5EB-62B293D839F1}"/>
                                      <w:text/>
                                    </w:sdtPr>
                                    <w:sdtContent>
                                      <w:r w:rsidR="00D95429">
                                        <w:rPr>
                                          <w:caps/>
                                          <w:color w:val="FFFFFF" w:themeColor="background1"/>
                                        </w:rPr>
                                        <w:t xml:space="preserve">instituto técnico superior </w:t>
                                      </w:r>
                                      <w:r w:rsidR="00BF6F06">
                                        <w:rPr>
                                          <w:caps/>
                                          <w:color w:val="FFFFFF" w:themeColor="background1"/>
                                        </w:rPr>
                                        <w:t>CONVERGENCIA COMERCIAL</w:t>
                                      </w:r>
                                    </w:sdtContent>
                                  </w:sdt>
                                  <w:r w:rsidR="00BF6F06">
                                    <w:rPr>
                                      <w:color w:val="FFFFFF" w:themeColor="background1"/>
                                      <w:lang w:val="es-ES"/>
                                    </w:rPr>
                                    <w:t>  </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uadro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156082"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4CB7CCC3" w14:textId="3337EE7E" w:rsidR="00BF6F06" w:rsidRDefault="00BF6F06">
                                      <w:pPr>
                                        <w:pStyle w:val="Sinespaciado"/>
                                        <w:jc w:val="center"/>
                                        <w:rPr>
                                          <w:rFonts w:asciiTheme="majorHAnsi" w:eastAsiaTheme="majorEastAsia" w:hAnsiTheme="majorHAnsi" w:cstheme="majorBidi"/>
                                          <w:caps/>
                                          <w:color w:val="156082" w:themeColor="accent1"/>
                                          <w:sz w:val="72"/>
                                          <w:szCs w:val="72"/>
                                        </w:rPr>
                                      </w:pPr>
                                      <w:r>
                                        <w:rPr>
                                          <w:rFonts w:asciiTheme="majorHAnsi" w:eastAsiaTheme="majorEastAsia" w:hAnsiTheme="majorHAnsi" w:cstheme="majorBidi"/>
                                          <w:caps/>
                                          <w:color w:val="156082" w:themeColor="accent1"/>
                                          <w:sz w:val="72"/>
                                          <w:szCs w:val="72"/>
                                        </w:rPr>
                                        <w:t>CIERRE CONTABLE Y TRIBUTARIO 2024</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3E6BBF93" id="Grupo 198" o:spid="_x0000_s1026" style="position:absolute;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">
                    <v:rect id="Rectá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156082 [3204]" stroked="f" strokeweight="1pt"/>
                    <v:rect id="Rectá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156082 [3204]" stroked="f" strokeweight="1pt">
                      <v:textbox inset="36pt,57.6pt,36pt,36pt">
                        <w:txbxContent>
                          <w:sdt>
                            <w:sdtPr>
                              <w:rPr>
                                <w:color w:val="FFFFFF" w:themeColor="background1"/>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34C6C87E" w14:textId="1B775F2B" w:rsidR="00BF6F06" w:rsidRDefault="00BF6F06">
                                <w:pPr>
                                  <w:pStyle w:val="Sinespaciado"/>
                                  <w:spacing w:before="120"/>
                                  <w:jc w:val="center"/>
                                  <w:rPr>
                                    <w:color w:val="FFFFFF" w:themeColor="background1"/>
                                  </w:rPr>
                                </w:pPr>
                                <w:r>
                                  <w:rPr>
                                    <w:color w:val="FFFFFF" w:themeColor="background1"/>
                                  </w:rPr>
                                  <w:t>Mg. Viviana Mariel Sanabria Vazquez</w:t>
                                </w:r>
                              </w:p>
                            </w:sdtContent>
                          </w:sdt>
                          <w:p w14:paraId="49065839" w14:textId="32A1082F" w:rsidR="00BF6F06" w:rsidRDefault="00BF6F06">
                            <w:pPr>
                              <w:pStyle w:val="Sinespaciado"/>
                              <w:spacing w:before="120"/>
                              <w:jc w:val="center"/>
                              <w:rPr>
                                <w:color w:val="FFFFFF" w:themeColor="background1"/>
                              </w:rPr>
                            </w:pPr>
                            <w:sdt>
                              <w:sdtPr>
                                <w:rPr>
                                  <w:caps/>
                                  <w:color w:val="FFFFFF" w:themeColor="background1"/>
                                </w:rPr>
                                <w:alias w:val="Compañía"/>
                                <w:tag w:val=""/>
                                <w:id w:val="1618182777"/>
                                <w:dataBinding w:prefixMappings="xmlns:ns0='http://schemas.openxmlformats.org/officeDocument/2006/extended-properties' " w:xpath="/ns0:Properties[1]/ns0:Company[1]" w:storeItemID="{6668398D-A668-4E3E-A5EB-62B293D839F1}"/>
                                <w:text/>
                              </w:sdtPr>
                              <w:sdtContent>
                                <w:r w:rsidR="00D95429">
                                  <w:rPr>
                                    <w:caps/>
                                    <w:color w:val="FFFFFF" w:themeColor="background1"/>
                                  </w:rPr>
                                  <w:t xml:space="preserve">instituto técnico superior </w:t>
                                </w:r>
                                <w:r>
                                  <w:rPr>
                                    <w:caps/>
                                    <w:color w:val="FFFFFF" w:themeColor="background1"/>
                                  </w:rPr>
                                  <w:t>CONVERGENCIA COMERCIAL</w:t>
                                </w:r>
                              </w:sdtContent>
                            </w:sdt>
                            <w:r>
                              <w:rPr>
                                <w:color w:val="FFFFFF" w:themeColor="background1"/>
                                <w:lang w:val="es-ES"/>
                              </w:rPr>
                              <w:t>  </w:t>
                            </w:r>
                          </w:p>
                        </w:txbxContent>
                      </v:textbox>
                    </v:rect>
                    <v:shapetype id="_x0000_t202" coordsize="21600,21600" o:spt="202" path="m,l,21600r21600,l21600,xe">
                      <v:stroke joinstyle="miter"/>
                      <v:path gradientshapeok="t" o:connecttype="rect"/>
                    </v:shapetype>
                    <v:shape id="Cuadro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156082"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4CB7CCC3" w14:textId="3337EE7E" w:rsidR="00BF6F06" w:rsidRDefault="00BF6F06">
                                <w:pPr>
                                  <w:pStyle w:val="Sinespaciado"/>
                                  <w:jc w:val="center"/>
                                  <w:rPr>
                                    <w:rFonts w:asciiTheme="majorHAnsi" w:eastAsiaTheme="majorEastAsia" w:hAnsiTheme="majorHAnsi" w:cstheme="majorBidi"/>
                                    <w:caps/>
                                    <w:color w:val="156082" w:themeColor="accent1"/>
                                    <w:sz w:val="72"/>
                                    <w:szCs w:val="72"/>
                                  </w:rPr>
                                </w:pPr>
                                <w:r>
                                  <w:rPr>
                                    <w:rFonts w:asciiTheme="majorHAnsi" w:eastAsiaTheme="majorEastAsia" w:hAnsiTheme="majorHAnsi" w:cstheme="majorBidi"/>
                                    <w:caps/>
                                    <w:color w:val="156082" w:themeColor="accent1"/>
                                    <w:sz w:val="72"/>
                                    <w:szCs w:val="72"/>
                                  </w:rPr>
                                  <w:t>CIERRE CONTABLE Y TRIBUTARIO 2024</w:t>
                                </w:r>
                              </w:p>
                            </w:sdtContent>
                          </w:sdt>
                        </w:txbxContent>
                      </v:textbox>
                    </v:shape>
                    <w10:wrap anchorx="page" anchory="page"/>
                  </v:group>
                </w:pict>
              </mc:Fallback>
            </mc:AlternateContent>
          </w:r>
        </w:p>
        <w:p w14:paraId="5280A561" w14:textId="57312B2B" w:rsidR="00BF6F06" w:rsidRDefault="00BF6F06">
          <w:pPr>
            <w:rPr>
              <w:rFonts w:ascii="Calibri" w:hAnsi="Calibri" w:cs="Calibri"/>
            </w:rPr>
          </w:pPr>
          <w:r>
            <w:rPr>
              <w:rFonts w:ascii="Calibri" w:hAnsi="Calibri" w:cs="Calibri"/>
            </w:rPr>
            <w:br w:type="page"/>
          </w:r>
        </w:p>
      </w:sdtContent>
    </w:sdt>
    <w:sdt>
      <w:sdtPr>
        <w:rPr>
          <w:rFonts w:asciiTheme="minorHAnsi" w:eastAsiaTheme="minorHAnsi" w:hAnsiTheme="minorHAnsi" w:cstheme="minorBidi"/>
          <w:color w:val="auto"/>
          <w:kern w:val="2"/>
          <w:sz w:val="24"/>
          <w:szCs w:val="24"/>
          <w:lang w:val="es-ES" w:eastAsia="en-US"/>
          <w14:ligatures w14:val="standardContextual"/>
        </w:rPr>
        <w:id w:val="1325403304"/>
        <w:docPartObj>
          <w:docPartGallery w:val="Table of Contents"/>
          <w:docPartUnique/>
        </w:docPartObj>
      </w:sdtPr>
      <w:sdtEndPr>
        <w:rPr>
          <w:b/>
          <w:bCs/>
        </w:rPr>
      </w:sdtEndPr>
      <w:sdtContent>
        <w:p w14:paraId="28854993" w14:textId="7837E7C6" w:rsidR="003930C3" w:rsidRDefault="00BE42E3">
          <w:pPr>
            <w:pStyle w:val="TtuloTDC"/>
          </w:pPr>
          <w:r>
            <w:rPr>
              <w:lang w:val="es-ES"/>
            </w:rPr>
            <w:t>INDICE</w:t>
          </w:r>
        </w:p>
        <w:p w14:paraId="103A7642" w14:textId="6FBDF8E7" w:rsidR="00760CAE" w:rsidRDefault="003930C3">
          <w:pPr>
            <w:pStyle w:val="TDC1"/>
            <w:tabs>
              <w:tab w:val="right" w:leader="dot" w:pos="9204"/>
            </w:tabs>
            <w:rPr>
              <w:rFonts w:eastAsiaTheme="minorEastAsia"/>
              <w:noProof/>
              <w:lang w:eastAsia="es-PY"/>
            </w:rPr>
          </w:pPr>
          <w:r>
            <w:fldChar w:fldCharType="begin"/>
          </w:r>
          <w:r>
            <w:instrText xml:space="preserve"> TOC \o "1-3" \h \z \u </w:instrText>
          </w:r>
          <w:r>
            <w:fldChar w:fldCharType="separate"/>
          </w:r>
          <w:hyperlink w:anchor="_Toc184048029" w:history="1">
            <w:r w:rsidR="00760CAE" w:rsidRPr="0071236B">
              <w:rPr>
                <w:rStyle w:val="Hipervnculo"/>
                <w:noProof/>
              </w:rPr>
              <w:t>CIERRE TRIBUTARIO Y CONTABLE 2024</w:t>
            </w:r>
            <w:r w:rsidR="00760CAE">
              <w:rPr>
                <w:noProof/>
                <w:webHidden/>
              </w:rPr>
              <w:tab/>
            </w:r>
            <w:r w:rsidR="00760CAE">
              <w:rPr>
                <w:noProof/>
                <w:webHidden/>
              </w:rPr>
              <w:fldChar w:fldCharType="begin"/>
            </w:r>
            <w:r w:rsidR="00760CAE">
              <w:rPr>
                <w:noProof/>
                <w:webHidden/>
              </w:rPr>
              <w:instrText xml:space="preserve"> PAGEREF _Toc184048029 \h </w:instrText>
            </w:r>
            <w:r w:rsidR="00760CAE">
              <w:rPr>
                <w:noProof/>
                <w:webHidden/>
              </w:rPr>
            </w:r>
            <w:r w:rsidR="00760CAE">
              <w:rPr>
                <w:noProof/>
                <w:webHidden/>
              </w:rPr>
              <w:fldChar w:fldCharType="separate"/>
            </w:r>
            <w:r w:rsidR="00760CAE">
              <w:rPr>
                <w:noProof/>
                <w:webHidden/>
              </w:rPr>
              <w:t>2</w:t>
            </w:r>
            <w:r w:rsidR="00760CAE">
              <w:rPr>
                <w:noProof/>
                <w:webHidden/>
              </w:rPr>
              <w:fldChar w:fldCharType="end"/>
            </w:r>
          </w:hyperlink>
        </w:p>
        <w:p w14:paraId="2DD781E4" w14:textId="49623D1F" w:rsidR="00760CAE" w:rsidRDefault="00760CAE">
          <w:pPr>
            <w:pStyle w:val="TDC2"/>
            <w:tabs>
              <w:tab w:val="right" w:leader="dot" w:pos="9204"/>
            </w:tabs>
            <w:rPr>
              <w:rFonts w:eastAsiaTheme="minorEastAsia"/>
              <w:noProof/>
              <w:lang w:eastAsia="es-PY"/>
            </w:rPr>
          </w:pPr>
          <w:hyperlink w:anchor="_Toc184048030" w:history="1">
            <w:r w:rsidRPr="0071236B">
              <w:rPr>
                <w:rStyle w:val="Hipervnculo"/>
                <w:rFonts w:ascii="Calibri" w:hAnsi="Calibri" w:cs="Calibri"/>
                <w:noProof/>
              </w:rPr>
              <w:t>Aspectos y pasos a tener en cuenta para el cierre del balance</w:t>
            </w:r>
            <w:r>
              <w:rPr>
                <w:noProof/>
                <w:webHidden/>
              </w:rPr>
              <w:tab/>
            </w:r>
            <w:r>
              <w:rPr>
                <w:noProof/>
                <w:webHidden/>
              </w:rPr>
              <w:fldChar w:fldCharType="begin"/>
            </w:r>
            <w:r>
              <w:rPr>
                <w:noProof/>
                <w:webHidden/>
              </w:rPr>
              <w:instrText xml:space="preserve"> PAGEREF _Toc184048030 \h </w:instrText>
            </w:r>
            <w:r>
              <w:rPr>
                <w:noProof/>
                <w:webHidden/>
              </w:rPr>
            </w:r>
            <w:r>
              <w:rPr>
                <w:noProof/>
                <w:webHidden/>
              </w:rPr>
              <w:fldChar w:fldCharType="separate"/>
            </w:r>
            <w:r>
              <w:rPr>
                <w:noProof/>
                <w:webHidden/>
              </w:rPr>
              <w:t>2</w:t>
            </w:r>
            <w:r>
              <w:rPr>
                <w:noProof/>
                <w:webHidden/>
              </w:rPr>
              <w:fldChar w:fldCharType="end"/>
            </w:r>
          </w:hyperlink>
        </w:p>
        <w:p w14:paraId="3F9EDF58" w14:textId="1A39FA22" w:rsidR="00760CAE" w:rsidRDefault="00760CAE">
          <w:pPr>
            <w:pStyle w:val="TDC2"/>
            <w:tabs>
              <w:tab w:val="right" w:leader="dot" w:pos="9204"/>
            </w:tabs>
            <w:rPr>
              <w:rFonts w:eastAsiaTheme="minorEastAsia"/>
              <w:noProof/>
              <w:lang w:eastAsia="es-PY"/>
            </w:rPr>
          </w:pPr>
          <w:hyperlink w:anchor="_Toc184048031" w:history="1">
            <w:r w:rsidRPr="0071236B">
              <w:rPr>
                <w:rStyle w:val="Hipervnculo"/>
                <w:rFonts w:ascii="Calibri" w:hAnsi="Calibri" w:cs="Calibri"/>
                <w:noProof/>
              </w:rPr>
              <w:t>Marco legal</w:t>
            </w:r>
            <w:r>
              <w:rPr>
                <w:noProof/>
                <w:webHidden/>
              </w:rPr>
              <w:tab/>
            </w:r>
            <w:r>
              <w:rPr>
                <w:noProof/>
                <w:webHidden/>
              </w:rPr>
              <w:fldChar w:fldCharType="begin"/>
            </w:r>
            <w:r>
              <w:rPr>
                <w:noProof/>
                <w:webHidden/>
              </w:rPr>
              <w:instrText xml:space="preserve"> PAGEREF _Toc184048031 \h </w:instrText>
            </w:r>
            <w:r>
              <w:rPr>
                <w:noProof/>
                <w:webHidden/>
              </w:rPr>
            </w:r>
            <w:r>
              <w:rPr>
                <w:noProof/>
                <w:webHidden/>
              </w:rPr>
              <w:fldChar w:fldCharType="separate"/>
            </w:r>
            <w:r>
              <w:rPr>
                <w:noProof/>
                <w:webHidden/>
              </w:rPr>
              <w:t>3</w:t>
            </w:r>
            <w:r>
              <w:rPr>
                <w:noProof/>
                <w:webHidden/>
              </w:rPr>
              <w:fldChar w:fldCharType="end"/>
            </w:r>
          </w:hyperlink>
        </w:p>
        <w:p w14:paraId="4CEB12CD" w14:textId="1656E183" w:rsidR="00760CAE" w:rsidRDefault="00760CAE">
          <w:pPr>
            <w:pStyle w:val="TDC3"/>
            <w:tabs>
              <w:tab w:val="right" w:leader="dot" w:pos="9204"/>
            </w:tabs>
            <w:rPr>
              <w:rFonts w:eastAsiaTheme="minorEastAsia"/>
              <w:noProof/>
              <w:lang w:eastAsia="es-PY"/>
            </w:rPr>
          </w:pPr>
          <w:hyperlink w:anchor="_Toc184048032" w:history="1">
            <w:r w:rsidRPr="0071236B">
              <w:rPr>
                <w:rStyle w:val="Hipervnculo"/>
                <w:noProof/>
              </w:rPr>
              <w:t>Ley 6380/19 - Artículo 15.- Gastos Deducibles.</w:t>
            </w:r>
            <w:r>
              <w:rPr>
                <w:noProof/>
                <w:webHidden/>
              </w:rPr>
              <w:tab/>
            </w:r>
            <w:r>
              <w:rPr>
                <w:noProof/>
                <w:webHidden/>
              </w:rPr>
              <w:fldChar w:fldCharType="begin"/>
            </w:r>
            <w:r>
              <w:rPr>
                <w:noProof/>
                <w:webHidden/>
              </w:rPr>
              <w:instrText xml:space="preserve"> PAGEREF _Toc184048032 \h </w:instrText>
            </w:r>
            <w:r>
              <w:rPr>
                <w:noProof/>
                <w:webHidden/>
              </w:rPr>
            </w:r>
            <w:r>
              <w:rPr>
                <w:noProof/>
                <w:webHidden/>
              </w:rPr>
              <w:fldChar w:fldCharType="separate"/>
            </w:r>
            <w:r>
              <w:rPr>
                <w:noProof/>
                <w:webHidden/>
              </w:rPr>
              <w:t>3</w:t>
            </w:r>
            <w:r>
              <w:rPr>
                <w:noProof/>
                <w:webHidden/>
              </w:rPr>
              <w:fldChar w:fldCharType="end"/>
            </w:r>
          </w:hyperlink>
        </w:p>
        <w:p w14:paraId="713D2886" w14:textId="1F868E55" w:rsidR="00760CAE" w:rsidRDefault="00760CAE">
          <w:pPr>
            <w:pStyle w:val="TDC3"/>
            <w:tabs>
              <w:tab w:val="right" w:leader="dot" w:pos="9204"/>
            </w:tabs>
            <w:rPr>
              <w:rFonts w:eastAsiaTheme="minorEastAsia"/>
              <w:noProof/>
              <w:lang w:eastAsia="es-PY"/>
            </w:rPr>
          </w:pPr>
          <w:hyperlink w:anchor="_Toc184048033" w:history="1">
            <w:r w:rsidRPr="0071236B">
              <w:rPr>
                <w:rStyle w:val="Hipervnculo"/>
                <w:noProof/>
              </w:rPr>
              <w:t>Ley 6380/19 -  Artículo 16.- Costos y Gastos No Deducibles.</w:t>
            </w:r>
            <w:r>
              <w:rPr>
                <w:noProof/>
                <w:webHidden/>
              </w:rPr>
              <w:tab/>
            </w:r>
            <w:r>
              <w:rPr>
                <w:noProof/>
                <w:webHidden/>
              </w:rPr>
              <w:fldChar w:fldCharType="begin"/>
            </w:r>
            <w:r>
              <w:rPr>
                <w:noProof/>
                <w:webHidden/>
              </w:rPr>
              <w:instrText xml:space="preserve"> PAGEREF _Toc184048033 \h </w:instrText>
            </w:r>
            <w:r>
              <w:rPr>
                <w:noProof/>
                <w:webHidden/>
              </w:rPr>
            </w:r>
            <w:r>
              <w:rPr>
                <w:noProof/>
                <w:webHidden/>
              </w:rPr>
              <w:fldChar w:fldCharType="separate"/>
            </w:r>
            <w:r>
              <w:rPr>
                <w:noProof/>
                <w:webHidden/>
              </w:rPr>
              <w:t>5</w:t>
            </w:r>
            <w:r>
              <w:rPr>
                <w:noProof/>
                <w:webHidden/>
              </w:rPr>
              <w:fldChar w:fldCharType="end"/>
            </w:r>
          </w:hyperlink>
        </w:p>
        <w:p w14:paraId="524885A7" w14:textId="06EBF125" w:rsidR="00760CAE" w:rsidRDefault="00760CAE">
          <w:pPr>
            <w:pStyle w:val="TDC2"/>
            <w:tabs>
              <w:tab w:val="right" w:leader="dot" w:pos="9204"/>
            </w:tabs>
            <w:rPr>
              <w:rFonts w:eastAsiaTheme="minorEastAsia"/>
              <w:noProof/>
              <w:lang w:eastAsia="es-PY"/>
            </w:rPr>
          </w:pPr>
          <w:hyperlink w:anchor="_Toc184048034" w:history="1">
            <w:r w:rsidRPr="0071236B">
              <w:rPr>
                <w:rStyle w:val="Hipervnculo"/>
                <w:noProof/>
              </w:rPr>
              <w:t>DECRETO 3182/19</w:t>
            </w:r>
            <w:r>
              <w:rPr>
                <w:noProof/>
                <w:webHidden/>
              </w:rPr>
              <w:tab/>
            </w:r>
            <w:r>
              <w:rPr>
                <w:noProof/>
                <w:webHidden/>
              </w:rPr>
              <w:fldChar w:fldCharType="begin"/>
            </w:r>
            <w:r>
              <w:rPr>
                <w:noProof/>
                <w:webHidden/>
              </w:rPr>
              <w:instrText xml:space="preserve"> PAGEREF _Toc184048034 \h </w:instrText>
            </w:r>
            <w:r>
              <w:rPr>
                <w:noProof/>
                <w:webHidden/>
              </w:rPr>
            </w:r>
            <w:r>
              <w:rPr>
                <w:noProof/>
                <w:webHidden/>
              </w:rPr>
              <w:fldChar w:fldCharType="separate"/>
            </w:r>
            <w:r>
              <w:rPr>
                <w:noProof/>
                <w:webHidden/>
              </w:rPr>
              <w:t>6</w:t>
            </w:r>
            <w:r>
              <w:rPr>
                <w:noProof/>
                <w:webHidden/>
              </w:rPr>
              <w:fldChar w:fldCharType="end"/>
            </w:r>
          </w:hyperlink>
        </w:p>
        <w:p w14:paraId="433C43F1" w14:textId="23E85968" w:rsidR="00760CAE" w:rsidRDefault="00760CAE">
          <w:pPr>
            <w:pStyle w:val="TDC3"/>
            <w:tabs>
              <w:tab w:val="right" w:leader="dot" w:pos="9204"/>
            </w:tabs>
            <w:rPr>
              <w:rFonts w:eastAsiaTheme="minorEastAsia"/>
              <w:noProof/>
              <w:lang w:eastAsia="es-PY"/>
            </w:rPr>
          </w:pPr>
          <w:hyperlink w:anchor="_Toc184048035" w:history="1">
            <w:r w:rsidRPr="0071236B">
              <w:rPr>
                <w:rStyle w:val="Hipervnculo"/>
                <w:noProof/>
              </w:rPr>
              <w:t>Articulo 53.- Gastos Generales del Negocio Agrícola, Ganadero y Forestal.</w:t>
            </w:r>
            <w:r>
              <w:rPr>
                <w:noProof/>
                <w:webHidden/>
              </w:rPr>
              <w:tab/>
            </w:r>
            <w:r>
              <w:rPr>
                <w:noProof/>
                <w:webHidden/>
              </w:rPr>
              <w:fldChar w:fldCharType="begin"/>
            </w:r>
            <w:r>
              <w:rPr>
                <w:noProof/>
                <w:webHidden/>
              </w:rPr>
              <w:instrText xml:space="preserve"> PAGEREF _Toc184048035 \h </w:instrText>
            </w:r>
            <w:r>
              <w:rPr>
                <w:noProof/>
                <w:webHidden/>
              </w:rPr>
            </w:r>
            <w:r>
              <w:rPr>
                <w:noProof/>
                <w:webHidden/>
              </w:rPr>
              <w:fldChar w:fldCharType="separate"/>
            </w:r>
            <w:r>
              <w:rPr>
                <w:noProof/>
                <w:webHidden/>
              </w:rPr>
              <w:t>6</w:t>
            </w:r>
            <w:r>
              <w:rPr>
                <w:noProof/>
                <w:webHidden/>
              </w:rPr>
              <w:fldChar w:fldCharType="end"/>
            </w:r>
          </w:hyperlink>
        </w:p>
        <w:p w14:paraId="7A073A15" w14:textId="7D3265BB" w:rsidR="00760CAE" w:rsidRDefault="00760CAE">
          <w:pPr>
            <w:pStyle w:val="TDC3"/>
            <w:tabs>
              <w:tab w:val="right" w:leader="dot" w:pos="9204"/>
            </w:tabs>
            <w:rPr>
              <w:rFonts w:eastAsiaTheme="minorEastAsia"/>
              <w:noProof/>
              <w:lang w:eastAsia="es-PY"/>
            </w:rPr>
          </w:pPr>
          <w:hyperlink w:anchor="_Toc184048036" w:history="1">
            <w:r w:rsidRPr="0071236B">
              <w:rPr>
                <w:rStyle w:val="Hipervnculo"/>
                <w:noProof/>
              </w:rPr>
              <w:t>Artículo 54.- Beneficios a Trabajadores Dependientes en virtud a la Ley N° 285/1993.</w:t>
            </w:r>
            <w:r>
              <w:rPr>
                <w:noProof/>
                <w:webHidden/>
              </w:rPr>
              <w:tab/>
            </w:r>
            <w:r>
              <w:rPr>
                <w:noProof/>
                <w:webHidden/>
              </w:rPr>
              <w:fldChar w:fldCharType="begin"/>
            </w:r>
            <w:r>
              <w:rPr>
                <w:noProof/>
                <w:webHidden/>
              </w:rPr>
              <w:instrText xml:space="preserve"> PAGEREF _Toc184048036 \h </w:instrText>
            </w:r>
            <w:r>
              <w:rPr>
                <w:noProof/>
                <w:webHidden/>
              </w:rPr>
            </w:r>
            <w:r>
              <w:rPr>
                <w:noProof/>
                <w:webHidden/>
              </w:rPr>
              <w:fldChar w:fldCharType="separate"/>
            </w:r>
            <w:r>
              <w:rPr>
                <w:noProof/>
                <w:webHidden/>
              </w:rPr>
              <w:t>6</w:t>
            </w:r>
            <w:r>
              <w:rPr>
                <w:noProof/>
                <w:webHidden/>
              </w:rPr>
              <w:fldChar w:fldCharType="end"/>
            </w:r>
          </w:hyperlink>
        </w:p>
        <w:p w14:paraId="024C270D" w14:textId="341D9233" w:rsidR="00760CAE" w:rsidRDefault="00760CAE">
          <w:pPr>
            <w:pStyle w:val="TDC3"/>
            <w:tabs>
              <w:tab w:val="right" w:leader="dot" w:pos="9204"/>
            </w:tabs>
            <w:rPr>
              <w:rFonts w:eastAsiaTheme="minorEastAsia"/>
              <w:noProof/>
              <w:lang w:eastAsia="es-PY"/>
            </w:rPr>
          </w:pPr>
          <w:hyperlink w:anchor="_Toc184048037" w:history="1">
            <w:r w:rsidRPr="0071236B">
              <w:rPr>
                <w:rStyle w:val="Hipervnculo"/>
                <w:noProof/>
              </w:rPr>
              <w:t>Artículo 55.- Gastos de Constitución y Organización.</w:t>
            </w:r>
            <w:r>
              <w:rPr>
                <w:noProof/>
                <w:webHidden/>
              </w:rPr>
              <w:tab/>
            </w:r>
            <w:r>
              <w:rPr>
                <w:noProof/>
                <w:webHidden/>
              </w:rPr>
              <w:fldChar w:fldCharType="begin"/>
            </w:r>
            <w:r>
              <w:rPr>
                <w:noProof/>
                <w:webHidden/>
              </w:rPr>
              <w:instrText xml:space="preserve"> PAGEREF _Toc184048037 \h </w:instrText>
            </w:r>
            <w:r>
              <w:rPr>
                <w:noProof/>
                <w:webHidden/>
              </w:rPr>
            </w:r>
            <w:r>
              <w:rPr>
                <w:noProof/>
                <w:webHidden/>
              </w:rPr>
              <w:fldChar w:fldCharType="separate"/>
            </w:r>
            <w:r>
              <w:rPr>
                <w:noProof/>
                <w:webHidden/>
              </w:rPr>
              <w:t>7</w:t>
            </w:r>
            <w:r>
              <w:rPr>
                <w:noProof/>
                <w:webHidden/>
              </w:rPr>
              <w:fldChar w:fldCharType="end"/>
            </w:r>
          </w:hyperlink>
        </w:p>
        <w:p w14:paraId="3E82D518" w14:textId="68582C36" w:rsidR="00760CAE" w:rsidRDefault="00760CAE">
          <w:pPr>
            <w:pStyle w:val="TDC3"/>
            <w:tabs>
              <w:tab w:val="right" w:leader="dot" w:pos="9204"/>
            </w:tabs>
            <w:rPr>
              <w:rFonts w:eastAsiaTheme="minorEastAsia"/>
              <w:noProof/>
              <w:lang w:eastAsia="es-PY"/>
            </w:rPr>
          </w:pPr>
          <w:hyperlink w:anchor="_Toc184048038" w:history="1">
            <w:r w:rsidRPr="0071236B">
              <w:rPr>
                <w:rStyle w:val="Hipervnculo"/>
                <w:noProof/>
              </w:rPr>
              <w:t>Artículo 56.- Intereses, Alquileres o Cesión de Uso de Bienes y Derechos.</w:t>
            </w:r>
            <w:r>
              <w:rPr>
                <w:noProof/>
                <w:webHidden/>
              </w:rPr>
              <w:tab/>
            </w:r>
            <w:r>
              <w:rPr>
                <w:noProof/>
                <w:webHidden/>
              </w:rPr>
              <w:fldChar w:fldCharType="begin"/>
            </w:r>
            <w:r>
              <w:rPr>
                <w:noProof/>
                <w:webHidden/>
              </w:rPr>
              <w:instrText xml:space="preserve"> PAGEREF _Toc184048038 \h </w:instrText>
            </w:r>
            <w:r>
              <w:rPr>
                <w:noProof/>
                <w:webHidden/>
              </w:rPr>
            </w:r>
            <w:r>
              <w:rPr>
                <w:noProof/>
                <w:webHidden/>
              </w:rPr>
              <w:fldChar w:fldCharType="separate"/>
            </w:r>
            <w:r>
              <w:rPr>
                <w:noProof/>
                <w:webHidden/>
              </w:rPr>
              <w:t>7</w:t>
            </w:r>
            <w:r>
              <w:rPr>
                <w:noProof/>
                <w:webHidden/>
              </w:rPr>
              <w:fldChar w:fldCharType="end"/>
            </w:r>
          </w:hyperlink>
        </w:p>
        <w:p w14:paraId="3C35DC7A" w14:textId="7313075C" w:rsidR="00760CAE" w:rsidRDefault="00760CAE">
          <w:pPr>
            <w:pStyle w:val="TDC3"/>
            <w:tabs>
              <w:tab w:val="right" w:leader="dot" w:pos="9204"/>
            </w:tabs>
            <w:rPr>
              <w:rFonts w:eastAsiaTheme="minorEastAsia"/>
              <w:noProof/>
              <w:lang w:eastAsia="es-PY"/>
            </w:rPr>
          </w:pPr>
          <w:hyperlink w:anchor="_Toc184048039" w:history="1">
            <w:r w:rsidRPr="0071236B">
              <w:rPr>
                <w:rStyle w:val="Hipervnculo"/>
                <w:noProof/>
              </w:rPr>
              <w:t>Artículo 57.- Pérdidas Extraordinarias.</w:t>
            </w:r>
            <w:r>
              <w:rPr>
                <w:noProof/>
                <w:webHidden/>
              </w:rPr>
              <w:tab/>
            </w:r>
            <w:r>
              <w:rPr>
                <w:noProof/>
                <w:webHidden/>
              </w:rPr>
              <w:fldChar w:fldCharType="begin"/>
            </w:r>
            <w:r>
              <w:rPr>
                <w:noProof/>
                <w:webHidden/>
              </w:rPr>
              <w:instrText xml:space="preserve"> PAGEREF _Toc184048039 \h </w:instrText>
            </w:r>
            <w:r>
              <w:rPr>
                <w:noProof/>
                <w:webHidden/>
              </w:rPr>
            </w:r>
            <w:r>
              <w:rPr>
                <w:noProof/>
                <w:webHidden/>
              </w:rPr>
              <w:fldChar w:fldCharType="separate"/>
            </w:r>
            <w:r>
              <w:rPr>
                <w:noProof/>
                <w:webHidden/>
              </w:rPr>
              <w:t>8</w:t>
            </w:r>
            <w:r>
              <w:rPr>
                <w:noProof/>
                <w:webHidden/>
              </w:rPr>
              <w:fldChar w:fldCharType="end"/>
            </w:r>
          </w:hyperlink>
        </w:p>
        <w:p w14:paraId="79580E3B" w14:textId="31BD0C5E" w:rsidR="00760CAE" w:rsidRDefault="00760CAE">
          <w:pPr>
            <w:pStyle w:val="TDC3"/>
            <w:tabs>
              <w:tab w:val="right" w:leader="dot" w:pos="9204"/>
            </w:tabs>
            <w:rPr>
              <w:rFonts w:eastAsiaTheme="minorEastAsia"/>
              <w:noProof/>
              <w:lang w:eastAsia="es-PY"/>
            </w:rPr>
          </w:pPr>
          <w:hyperlink w:anchor="_Toc184048040" w:history="1">
            <w:r w:rsidRPr="0071236B">
              <w:rPr>
                <w:rStyle w:val="Hipervnculo"/>
                <w:bCs/>
                <w:noProof/>
              </w:rPr>
              <w:t>Artículo 58.- Baja de Inventarios.</w:t>
            </w:r>
            <w:r>
              <w:rPr>
                <w:noProof/>
                <w:webHidden/>
              </w:rPr>
              <w:tab/>
            </w:r>
            <w:r>
              <w:rPr>
                <w:noProof/>
                <w:webHidden/>
              </w:rPr>
              <w:fldChar w:fldCharType="begin"/>
            </w:r>
            <w:r>
              <w:rPr>
                <w:noProof/>
                <w:webHidden/>
              </w:rPr>
              <w:instrText xml:space="preserve"> PAGEREF _Toc184048040 \h </w:instrText>
            </w:r>
            <w:r>
              <w:rPr>
                <w:noProof/>
                <w:webHidden/>
              </w:rPr>
            </w:r>
            <w:r>
              <w:rPr>
                <w:noProof/>
                <w:webHidden/>
              </w:rPr>
              <w:fldChar w:fldCharType="separate"/>
            </w:r>
            <w:r>
              <w:rPr>
                <w:noProof/>
                <w:webHidden/>
              </w:rPr>
              <w:t>8</w:t>
            </w:r>
            <w:r>
              <w:rPr>
                <w:noProof/>
                <w:webHidden/>
              </w:rPr>
              <w:fldChar w:fldCharType="end"/>
            </w:r>
          </w:hyperlink>
        </w:p>
        <w:p w14:paraId="4226EC70" w14:textId="75053079" w:rsidR="00760CAE" w:rsidRDefault="00760CAE">
          <w:pPr>
            <w:pStyle w:val="TDC3"/>
            <w:tabs>
              <w:tab w:val="right" w:leader="dot" w:pos="9204"/>
            </w:tabs>
            <w:rPr>
              <w:rFonts w:eastAsiaTheme="minorEastAsia"/>
              <w:noProof/>
              <w:lang w:eastAsia="es-PY"/>
            </w:rPr>
          </w:pPr>
          <w:hyperlink w:anchor="_Toc184048041" w:history="1">
            <w:r w:rsidRPr="0071236B">
              <w:rPr>
                <w:rStyle w:val="Hipervnculo"/>
                <w:bCs/>
                <w:noProof/>
              </w:rPr>
              <w:t>Art. 58.- Baja de Inventarios y de Bienes del Activo Fijo.</w:t>
            </w:r>
            <w:r>
              <w:rPr>
                <w:noProof/>
                <w:webHidden/>
              </w:rPr>
              <w:tab/>
            </w:r>
            <w:r>
              <w:rPr>
                <w:noProof/>
                <w:webHidden/>
              </w:rPr>
              <w:fldChar w:fldCharType="begin"/>
            </w:r>
            <w:r>
              <w:rPr>
                <w:noProof/>
                <w:webHidden/>
              </w:rPr>
              <w:instrText xml:space="preserve"> PAGEREF _Toc184048041 \h </w:instrText>
            </w:r>
            <w:r>
              <w:rPr>
                <w:noProof/>
                <w:webHidden/>
              </w:rPr>
            </w:r>
            <w:r>
              <w:rPr>
                <w:noProof/>
                <w:webHidden/>
              </w:rPr>
              <w:fldChar w:fldCharType="separate"/>
            </w:r>
            <w:r>
              <w:rPr>
                <w:noProof/>
                <w:webHidden/>
              </w:rPr>
              <w:t>8</w:t>
            </w:r>
            <w:r>
              <w:rPr>
                <w:noProof/>
                <w:webHidden/>
              </w:rPr>
              <w:fldChar w:fldCharType="end"/>
            </w:r>
          </w:hyperlink>
        </w:p>
        <w:p w14:paraId="6A495A07" w14:textId="36271C05" w:rsidR="00760CAE" w:rsidRDefault="00760CAE">
          <w:pPr>
            <w:pStyle w:val="TDC3"/>
            <w:tabs>
              <w:tab w:val="right" w:leader="dot" w:pos="9204"/>
            </w:tabs>
            <w:rPr>
              <w:rFonts w:eastAsiaTheme="minorEastAsia"/>
              <w:noProof/>
              <w:lang w:eastAsia="es-PY"/>
            </w:rPr>
          </w:pPr>
          <w:hyperlink w:anchor="_Toc184048042" w:history="1">
            <w:r w:rsidRPr="0071236B">
              <w:rPr>
                <w:rStyle w:val="Hipervnculo"/>
                <w:noProof/>
              </w:rPr>
              <w:t>Artículo 59.- Mermas.</w:t>
            </w:r>
            <w:r>
              <w:rPr>
                <w:noProof/>
                <w:webHidden/>
              </w:rPr>
              <w:tab/>
            </w:r>
            <w:r>
              <w:rPr>
                <w:noProof/>
                <w:webHidden/>
              </w:rPr>
              <w:fldChar w:fldCharType="begin"/>
            </w:r>
            <w:r>
              <w:rPr>
                <w:noProof/>
                <w:webHidden/>
              </w:rPr>
              <w:instrText xml:space="preserve"> PAGEREF _Toc184048042 \h </w:instrText>
            </w:r>
            <w:r>
              <w:rPr>
                <w:noProof/>
                <w:webHidden/>
              </w:rPr>
            </w:r>
            <w:r>
              <w:rPr>
                <w:noProof/>
                <w:webHidden/>
              </w:rPr>
              <w:fldChar w:fldCharType="separate"/>
            </w:r>
            <w:r>
              <w:rPr>
                <w:noProof/>
                <w:webHidden/>
              </w:rPr>
              <w:t>9</w:t>
            </w:r>
            <w:r>
              <w:rPr>
                <w:noProof/>
                <w:webHidden/>
              </w:rPr>
              <w:fldChar w:fldCharType="end"/>
            </w:r>
          </w:hyperlink>
        </w:p>
        <w:p w14:paraId="1B0FBA7A" w14:textId="21B8BC86" w:rsidR="00760CAE" w:rsidRDefault="00760CAE">
          <w:pPr>
            <w:pStyle w:val="TDC3"/>
            <w:tabs>
              <w:tab w:val="right" w:leader="dot" w:pos="9204"/>
            </w:tabs>
            <w:rPr>
              <w:rFonts w:eastAsiaTheme="minorEastAsia"/>
              <w:noProof/>
              <w:lang w:eastAsia="es-PY"/>
            </w:rPr>
          </w:pPr>
          <w:hyperlink w:anchor="_Toc184048043" w:history="1">
            <w:r w:rsidRPr="0071236B">
              <w:rPr>
                <w:rStyle w:val="Hipervnculo"/>
                <w:noProof/>
              </w:rPr>
              <w:t>Artículo 60.- Castigos sobre Malos Créditos.</w:t>
            </w:r>
            <w:r>
              <w:rPr>
                <w:noProof/>
                <w:webHidden/>
              </w:rPr>
              <w:tab/>
            </w:r>
            <w:r>
              <w:rPr>
                <w:noProof/>
                <w:webHidden/>
              </w:rPr>
              <w:fldChar w:fldCharType="begin"/>
            </w:r>
            <w:r>
              <w:rPr>
                <w:noProof/>
                <w:webHidden/>
              </w:rPr>
              <w:instrText xml:space="preserve"> PAGEREF _Toc184048043 \h </w:instrText>
            </w:r>
            <w:r>
              <w:rPr>
                <w:noProof/>
                <w:webHidden/>
              </w:rPr>
            </w:r>
            <w:r>
              <w:rPr>
                <w:noProof/>
                <w:webHidden/>
              </w:rPr>
              <w:fldChar w:fldCharType="separate"/>
            </w:r>
            <w:r>
              <w:rPr>
                <w:noProof/>
                <w:webHidden/>
              </w:rPr>
              <w:t>10</w:t>
            </w:r>
            <w:r>
              <w:rPr>
                <w:noProof/>
                <w:webHidden/>
              </w:rPr>
              <w:fldChar w:fldCharType="end"/>
            </w:r>
          </w:hyperlink>
        </w:p>
        <w:p w14:paraId="45719E6E" w14:textId="4775F4FF" w:rsidR="00760CAE" w:rsidRDefault="00760CAE">
          <w:pPr>
            <w:pStyle w:val="TDC3"/>
            <w:tabs>
              <w:tab w:val="right" w:leader="dot" w:pos="9204"/>
            </w:tabs>
            <w:rPr>
              <w:rFonts w:eastAsiaTheme="minorEastAsia"/>
              <w:noProof/>
              <w:lang w:eastAsia="es-PY"/>
            </w:rPr>
          </w:pPr>
          <w:hyperlink w:anchor="_Toc184048044" w:history="1">
            <w:r w:rsidRPr="0071236B">
              <w:rPr>
                <w:rStyle w:val="Hipervnculo"/>
                <w:noProof/>
              </w:rPr>
              <w:t>Artículo 61.- Previsiones.</w:t>
            </w:r>
            <w:r>
              <w:rPr>
                <w:noProof/>
                <w:webHidden/>
              </w:rPr>
              <w:tab/>
            </w:r>
            <w:r>
              <w:rPr>
                <w:noProof/>
                <w:webHidden/>
              </w:rPr>
              <w:fldChar w:fldCharType="begin"/>
            </w:r>
            <w:r>
              <w:rPr>
                <w:noProof/>
                <w:webHidden/>
              </w:rPr>
              <w:instrText xml:space="preserve"> PAGEREF _Toc184048044 \h </w:instrText>
            </w:r>
            <w:r>
              <w:rPr>
                <w:noProof/>
                <w:webHidden/>
              </w:rPr>
            </w:r>
            <w:r>
              <w:rPr>
                <w:noProof/>
                <w:webHidden/>
              </w:rPr>
              <w:fldChar w:fldCharType="separate"/>
            </w:r>
            <w:r>
              <w:rPr>
                <w:noProof/>
                <w:webHidden/>
              </w:rPr>
              <w:t>10</w:t>
            </w:r>
            <w:r>
              <w:rPr>
                <w:noProof/>
                <w:webHidden/>
              </w:rPr>
              <w:fldChar w:fldCharType="end"/>
            </w:r>
          </w:hyperlink>
        </w:p>
        <w:p w14:paraId="32D7C012" w14:textId="1D70F0EA" w:rsidR="00760CAE" w:rsidRDefault="00760CAE">
          <w:pPr>
            <w:pStyle w:val="TDC3"/>
            <w:tabs>
              <w:tab w:val="right" w:leader="dot" w:pos="9204"/>
            </w:tabs>
            <w:rPr>
              <w:rFonts w:eastAsiaTheme="minorEastAsia"/>
              <w:noProof/>
              <w:lang w:eastAsia="es-PY"/>
            </w:rPr>
          </w:pPr>
          <w:hyperlink w:anchor="_Toc184048045" w:history="1">
            <w:r w:rsidRPr="0071236B">
              <w:rPr>
                <w:rStyle w:val="Hipervnculo"/>
                <w:noProof/>
              </w:rPr>
              <w:t>Artículo 62.- Donaciones.</w:t>
            </w:r>
            <w:r>
              <w:rPr>
                <w:noProof/>
                <w:webHidden/>
              </w:rPr>
              <w:tab/>
            </w:r>
            <w:r>
              <w:rPr>
                <w:noProof/>
                <w:webHidden/>
              </w:rPr>
              <w:fldChar w:fldCharType="begin"/>
            </w:r>
            <w:r>
              <w:rPr>
                <w:noProof/>
                <w:webHidden/>
              </w:rPr>
              <w:instrText xml:space="preserve"> PAGEREF _Toc184048045 \h </w:instrText>
            </w:r>
            <w:r>
              <w:rPr>
                <w:noProof/>
                <w:webHidden/>
              </w:rPr>
            </w:r>
            <w:r>
              <w:rPr>
                <w:noProof/>
                <w:webHidden/>
              </w:rPr>
              <w:fldChar w:fldCharType="separate"/>
            </w:r>
            <w:r>
              <w:rPr>
                <w:noProof/>
                <w:webHidden/>
              </w:rPr>
              <w:t>10</w:t>
            </w:r>
            <w:r>
              <w:rPr>
                <w:noProof/>
                <w:webHidden/>
              </w:rPr>
              <w:fldChar w:fldCharType="end"/>
            </w:r>
          </w:hyperlink>
        </w:p>
        <w:p w14:paraId="19F051C7" w14:textId="53D0D074" w:rsidR="00760CAE" w:rsidRDefault="00760CAE">
          <w:pPr>
            <w:pStyle w:val="TDC3"/>
            <w:tabs>
              <w:tab w:val="right" w:leader="dot" w:pos="9204"/>
            </w:tabs>
            <w:rPr>
              <w:rFonts w:eastAsiaTheme="minorEastAsia"/>
              <w:noProof/>
              <w:lang w:eastAsia="es-PY"/>
            </w:rPr>
          </w:pPr>
          <w:hyperlink w:anchor="_Toc184048046" w:history="1">
            <w:r w:rsidRPr="0071236B">
              <w:rPr>
                <w:rStyle w:val="Hipervnculo"/>
                <w:noProof/>
              </w:rPr>
              <w:t>Artículo 63. - Beneficio Público.</w:t>
            </w:r>
            <w:r>
              <w:rPr>
                <w:noProof/>
                <w:webHidden/>
              </w:rPr>
              <w:tab/>
            </w:r>
            <w:r>
              <w:rPr>
                <w:noProof/>
                <w:webHidden/>
              </w:rPr>
              <w:fldChar w:fldCharType="begin"/>
            </w:r>
            <w:r>
              <w:rPr>
                <w:noProof/>
                <w:webHidden/>
              </w:rPr>
              <w:instrText xml:space="preserve"> PAGEREF _Toc184048046 \h </w:instrText>
            </w:r>
            <w:r>
              <w:rPr>
                <w:noProof/>
                <w:webHidden/>
              </w:rPr>
            </w:r>
            <w:r>
              <w:rPr>
                <w:noProof/>
                <w:webHidden/>
              </w:rPr>
              <w:fldChar w:fldCharType="separate"/>
            </w:r>
            <w:r>
              <w:rPr>
                <w:noProof/>
                <w:webHidden/>
              </w:rPr>
              <w:t>11</w:t>
            </w:r>
            <w:r>
              <w:rPr>
                <w:noProof/>
                <w:webHidden/>
              </w:rPr>
              <w:fldChar w:fldCharType="end"/>
            </w:r>
          </w:hyperlink>
        </w:p>
        <w:p w14:paraId="337DED9A" w14:textId="0EBF91EB" w:rsidR="00760CAE" w:rsidRDefault="00760CAE">
          <w:pPr>
            <w:pStyle w:val="TDC2"/>
            <w:tabs>
              <w:tab w:val="right" w:leader="dot" w:pos="9204"/>
            </w:tabs>
            <w:rPr>
              <w:rFonts w:eastAsiaTheme="minorEastAsia"/>
              <w:noProof/>
              <w:lang w:eastAsia="es-PY"/>
            </w:rPr>
          </w:pPr>
          <w:hyperlink w:anchor="_Toc184048047" w:history="1">
            <w:r w:rsidRPr="0071236B">
              <w:rPr>
                <w:rStyle w:val="Hipervnculo"/>
                <w:noProof/>
              </w:rPr>
              <w:t>PREGUNTAS FRECUENTES</w:t>
            </w:r>
            <w:r>
              <w:rPr>
                <w:noProof/>
                <w:webHidden/>
              </w:rPr>
              <w:tab/>
            </w:r>
            <w:r>
              <w:rPr>
                <w:noProof/>
                <w:webHidden/>
              </w:rPr>
              <w:fldChar w:fldCharType="begin"/>
            </w:r>
            <w:r>
              <w:rPr>
                <w:noProof/>
                <w:webHidden/>
              </w:rPr>
              <w:instrText xml:space="preserve"> PAGEREF _Toc184048047 \h </w:instrText>
            </w:r>
            <w:r>
              <w:rPr>
                <w:noProof/>
                <w:webHidden/>
              </w:rPr>
            </w:r>
            <w:r>
              <w:rPr>
                <w:noProof/>
                <w:webHidden/>
              </w:rPr>
              <w:fldChar w:fldCharType="separate"/>
            </w:r>
            <w:r>
              <w:rPr>
                <w:noProof/>
                <w:webHidden/>
              </w:rPr>
              <w:t>12</w:t>
            </w:r>
            <w:r>
              <w:rPr>
                <w:noProof/>
                <w:webHidden/>
              </w:rPr>
              <w:fldChar w:fldCharType="end"/>
            </w:r>
          </w:hyperlink>
        </w:p>
        <w:p w14:paraId="0110EA2A" w14:textId="7D336C0E" w:rsidR="00760CAE" w:rsidRDefault="00760CAE">
          <w:pPr>
            <w:pStyle w:val="TDC2"/>
            <w:tabs>
              <w:tab w:val="right" w:leader="dot" w:pos="9204"/>
            </w:tabs>
            <w:rPr>
              <w:rFonts w:eastAsiaTheme="minorEastAsia"/>
              <w:noProof/>
              <w:lang w:eastAsia="es-PY"/>
            </w:rPr>
          </w:pPr>
          <w:hyperlink w:anchor="_Toc184048048" w:history="1">
            <w:r w:rsidRPr="0071236B">
              <w:rPr>
                <w:rStyle w:val="Hipervnculo"/>
                <w:noProof/>
              </w:rPr>
              <w:t>EJEMPLO LÍMITES DE DEDUCIBILIDAD</w:t>
            </w:r>
            <w:r>
              <w:rPr>
                <w:noProof/>
                <w:webHidden/>
              </w:rPr>
              <w:tab/>
            </w:r>
            <w:r>
              <w:rPr>
                <w:noProof/>
                <w:webHidden/>
              </w:rPr>
              <w:fldChar w:fldCharType="begin"/>
            </w:r>
            <w:r>
              <w:rPr>
                <w:noProof/>
                <w:webHidden/>
              </w:rPr>
              <w:instrText xml:space="preserve"> PAGEREF _Toc184048048 \h </w:instrText>
            </w:r>
            <w:r>
              <w:rPr>
                <w:noProof/>
                <w:webHidden/>
              </w:rPr>
            </w:r>
            <w:r>
              <w:rPr>
                <w:noProof/>
                <w:webHidden/>
              </w:rPr>
              <w:fldChar w:fldCharType="separate"/>
            </w:r>
            <w:r>
              <w:rPr>
                <w:noProof/>
                <w:webHidden/>
              </w:rPr>
              <w:t>13</w:t>
            </w:r>
            <w:r>
              <w:rPr>
                <w:noProof/>
                <w:webHidden/>
              </w:rPr>
              <w:fldChar w:fldCharType="end"/>
            </w:r>
          </w:hyperlink>
        </w:p>
        <w:p w14:paraId="00F41019" w14:textId="5FDD8CCA" w:rsidR="00760CAE" w:rsidRDefault="00760CAE">
          <w:pPr>
            <w:pStyle w:val="TDC3"/>
            <w:tabs>
              <w:tab w:val="right" w:leader="dot" w:pos="9204"/>
            </w:tabs>
            <w:rPr>
              <w:rFonts w:eastAsiaTheme="minorEastAsia"/>
              <w:noProof/>
              <w:lang w:eastAsia="es-PY"/>
            </w:rPr>
          </w:pPr>
          <w:hyperlink w:anchor="_Toc184048049" w:history="1">
            <w:r w:rsidRPr="0071236B">
              <w:rPr>
                <w:rStyle w:val="Hipervnculo"/>
                <w:noProof/>
              </w:rPr>
              <w:t>LIMITE EN SU CONJUNTO – 1 %</w:t>
            </w:r>
            <w:r>
              <w:rPr>
                <w:noProof/>
                <w:webHidden/>
              </w:rPr>
              <w:tab/>
            </w:r>
            <w:r>
              <w:rPr>
                <w:noProof/>
                <w:webHidden/>
              </w:rPr>
              <w:fldChar w:fldCharType="begin"/>
            </w:r>
            <w:r>
              <w:rPr>
                <w:noProof/>
                <w:webHidden/>
              </w:rPr>
              <w:instrText xml:space="preserve"> PAGEREF _Toc184048049 \h </w:instrText>
            </w:r>
            <w:r>
              <w:rPr>
                <w:noProof/>
                <w:webHidden/>
              </w:rPr>
            </w:r>
            <w:r>
              <w:rPr>
                <w:noProof/>
                <w:webHidden/>
              </w:rPr>
              <w:fldChar w:fldCharType="separate"/>
            </w:r>
            <w:r>
              <w:rPr>
                <w:noProof/>
                <w:webHidden/>
              </w:rPr>
              <w:t>14</w:t>
            </w:r>
            <w:r>
              <w:rPr>
                <w:noProof/>
                <w:webHidden/>
              </w:rPr>
              <w:fldChar w:fldCharType="end"/>
            </w:r>
          </w:hyperlink>
        </w:p>
        <w:p w14:paraId="1C644341" w14:textId="2E1A4376" w:rsidR="003930C3" w:rsidRDefault="003930C3">
          <w:r>
            <w:rPr>
              <w:b/>
              <w:bCs/>
              <w:lang w:val="es-ES"/>
            </w:rPr>
            <w:fldChar w:fldCharType="end"/>
          </w:r>
        </w:p>
      </w:sdtContent>
    </w:sdt>
    <w:p w14:paraId="79F30EBB" w14:textId="77777777" w:rsidR="00CE27BE" w:rsidRDefault="00CE27BE">
      <w:pPr>
        <w:rPr>
          <w:rFonts w:ascii="Calibri" w:hAnsi="Calibri" w:cs="Calibri"/>
        </w:rPr>
      </w:pPr>
    </w:p>
    <w:p w14:paraId="4D9EDA57" w14:textId="77777777" w:rsidR="0096042C" w:rsidRDefault="0096042C">
      <w:pPr>
        <w:rPr>
          <w:rFonts w:ascii="Calibri" w:hAnsi="Calibri" w:cs="Calibri"/>
        </w:rPr>
      </w:pPr>
    </w:p>
    <w:p w14:paraId="2980CC7C" w14:textId="77777777" w:rsidR="0096042C" w:rsidRDefault="0096042C">
      <w:pPr>
        <w:rPr>
          <w:rFonts w:ascii="Calibri" w:hAnsi="Calibri" w:cs="Calibri"/>
        </w:rPr>
      </w:pPr>
    </w:p>
    <w:p w14:paraId="7E990FEE" w14:textId="77777777" w:rsidR="0096042C" w:rsidRDefault="0096042C">
      <w:pPr>
        <w:rPr>
          <w:rFonts w:ascii="Calibri" w:hAnsi="Calibri" w:cs="Calibri"/>
        </w:rPr>
      </w:pPr>
    </w:p>
    <w:p w14:paraId="4AE5A4CD" w14:textId="77777777" w:rsidR="0096042C" w:rsidRDefault="0096042C">
      <w:pPr>
        <w:rPr>
          <w:rFonts w:ascii="Calibri" w:hAnsi="Calibri" w:cs="Calibri"/>
        </w:rPr>
      </w:pPr>
    </w:p>
    <w:p w14:paraId="24489044" w14:textId="77777777" w:rsidR="0096042C" w:rsidRDefault="0096042C">
      <w:pPr>
        <w:rPr>
          <w:rFonts w:ascii="Calibri" w:hAnsi="Calibri" w:cs="Calibri"/>
        </w:rPr>
      </w:pPr>
    </w:p>
    <w:p w14:paraId="58B92C8B" w14:textId="77777777" w:rsidR="0096042C" w:rsidRDefault="0096042C">
      <w:pPr>
        <w:rPr>
          <w:rFonts w:ascii="Calibri" w:hAnsi="Calibri" w:cs="Calibri"/>
        </w:rPr>
      </w:pPr>
    </w:p>
    <w:p w14:paraId="52461341" w14:textId="77777777" w:rsidR="004D3226" w:rsidRDefault="004D3226" w:rsidP="00024569">
      <w:pPr>
        <w:pStyle w:val="Ttulo1"/>
      </w:pPr>
      <w:bookmarkStart w:id="0" w:name="_Toc184048029"/>
    </w:p>
    <w:p w14:paraId="6A15B706" w14:textId="267ADB91" w:rsidR="00CE27BE" w:rsidRPr="00CD181C" w:rsidRDefault="00CE27BE" w:rsidP="00024569">
      <w:pPr>
        <w:pStyle w:val="Ttulo1"/>
      </w:pPr>
      <w:r w:rsidRPr="00024569">
        <w:t>CIERRE</w:t>
      </w:r>
      <w:r w:rsidRPr="00CD181C">
        <w:t xml:space="preserve"> TRIBUTARIO Y CONTABLE 2024</w:t>
      </w:r>
      <w:bookmarkEnd w:id="0"/>
    </w:p>
    <w:p w14:paraId="5799CAA2" w14:textId="6895E499" w:rsidR="00CE27BE" w:rsidRPr="00CD181C" w:rsidRDefault="00CE27BE" w:rsidP="00CE27BE">
      <w:pPr>
        <w:pStyle w:val="Ttulo2"/>
        <w:rPr>
          <w:rFonts w:ascii="Calibri" w:hAnsi="Calibri" w:cs="Calibri"/>
          <w:sz w:val="24"/>
          <w:szCs w:val="24"/>
        </w:rPr>
      </w:pPr>
      <w:bookmarkStart w:id="1" w:name="_Toc184048030"/>
      <w:r w:rsidRPr="00CD181C">
        <w:rPr>
          <w:rFonts w:ascii="Calibri" w:hAnsi="Calibri" w:cs="Calibri"/>
          <w:sz w:val="24"/>
          <w:szCs w:val="24"/>
        </w:rPr>
        <w:t xml:space="preserve">Aspectos y pasos </w:t>
      </w:r>
      <w:proofErr w:type="gramStart"/>
      <w:r w:rsidRPr="00CD181C">
        <w:rPr>
          <w:rFonts w:ascii="Calibri" w:hAnsi="Calibri" w:cs="Calibri"/>
          <w:sz w:val="24"/>
          <w:szCs w:val="24"/>
        </w:rPr>
        <w:t>a</w:t>
      </w:r>
      <w:proofErr w:type="gramEnd"/>
      <w:r w:rsidRPr="00CD181C">
        <w:rPr>
          <w:rFonts w:ascii="Calibri" w:hAnsi="Calibri" w:cs="Calibri"/>
          <w:sz w:val="24"/>
          <w:szCs w:val="24"/>
        </w:rPr>
        <w:t xml:space="preserve"> tener en cuenta para el cierre del balance</w:t>
      </w:r>
      <w:bookmarkEnd w:id="1"/>
    </w:p>
    <w:p w14:paraId="14FA13CE" w14:textId="77777777" w:rsidR="00CE27BE" w:rsidRPr="00CD181C" w:rsidRDefault="00CE27BE">
      <w:pPr>
        <w:rPr>
          <w:rFonts w:ascii="Calibri" w:hAnsi="Calibri" w:cs="Calibri"/>
        </w:rPr>
      </w:pPr>
    </w:p>
    <w:p w14:paraId="5BA12A13" w14:textId="5C6C1BF1" w:rsidR="00CD181C" w:rsidRPr="00AD340D" w:rsidRDefault="00CD181C" w:rsidP="00CE27BE">
      <w:pPr>
        <w:pStyle w:val="Prrafodelista"/>
        <w:numPr>
          <w:ilvl w:val="0"/>
          <w:numId w:val="1"/>
        </w:numPr>
        <w:rPr>
          <w:rFonts w:ascii="Calibri" w:hAnsi="Calibri" w:cs="Calibri"/>
          <w:highlight w:val="cyan"/>
        </w:rPr>
      </w:pPr>
      <w:r w:rsidRPr="00AD340D">
        <w:rPr>
          <w:rFonts w:ascii="Calibri" w:hAnsi="Calibri" w:cs="Calibri"/>
          <w:highlight w:val="cyan"/>
        </w:rPr>
        <w:t>Verificar la validez del documento, en cuanto a forma y fondo.</w:t>
      </w:r>
    </w:p>
    <w:p w14:paraId="1ABFEA06" w14:textId="4E20CE8F" w:rsidR="00CE27BE" w:rsidRPr="00AD340D" w:rsidRDefault="00CE27BE" w:rsidP="00CE27BE">
      <w:pPr>
        <w:pStyle w:val="Prrafodelista"/>
        <w:numPr>
          <w:ilvl w:val="0"/>
          <w:numId w:val="1"/>
        </w:numPr>
        <w:rPr>
          <w:rFonts w:ascii="Calibri" w:hAnsi="Calibri" w:cs="Calibri"/>
          <w:highlight w:val="cyan"/>
        </w:rPr>
      </w:pPr>
      <w:r w:rsidRPr="00AD340D">
        <w:rPr>
          <w:rFonts w:ascii="Calibri" w:hAnsi="Calibri" w:cs="Calibri"/>
          <w:highlight w:val="cyan"/>
        </w:rPr>
        <w:t>Realizar las conciliaciones de todas las cuentas del Balance y Estado de resultados.</w:t>
      </w:r>
    </w:p>
    <w:p w14:paraId="5A5D6F53" w14:textId="3D68E40B" w:rsidR="00CE27BE" w:rsidRPr="00AD340D" w:rsidRDefault="00CE27BE" w:rsidP="00CE27BE">
      <w:pPr>
        <w:pStyle w:val="Prrafodelista"/>
        <w:numPr>
          <w:ilvl w:val="0"/>
          <w:numId w:val="1"/>
        </w:numPr>
        <w:rPr>
          <w:rFonts w:ascii="Calibri" w:hAnsi="Calibri" w:cs="Calibri"/>
          <w:highlight w:val="yellow"/>
        </w:rPr>
      </w:pPr>
      <w:r w:rsidRPr="00AD340D">
        <w:rPr>
          <w:rFonts w:ascii="Calibri" w:hAnsi="Calibri" w:cs="Calibri"/>
          <w:highlight w:val="yellow"/>
        </w:rPr>
        <w:t>Verificar las cuentas que son 100% deducibles</w:t>
      </w:r>
    </w:p>
    <w:p w14:paraId="57174BA6" w14:textId="6B68D1DA" w:rsidR="00CE27BE" w:rsidRPr="00AD340D" w:rsidRDefault="00CE27BE" w:rsidP="00CE27BE">
      <w:pPr>
        <w:pStyle w:val="Prrafodelista"/>
        <w:numPr>
          <w:ilvl w:val="0"/>
          <w:numId w:val="1"/>
        </w:numPr>
        <w:rPr>
          <w:rFonts w:ascii="Calibri" w:hAnsi="Calibri" w:cs="Calibri"/>
          <w:highlight w:val="yellow"/>
        </w:rPr>
      </w:pPr>
      <w:r w:rsidRPr="00AD340D">
        <w:rPr>
          <w:rFonts w:ascii="Calibri" w:hAnsi="Calibri" w:cs="Calibri"/>
          <w:highlight w:val="yellow"/>
        </w:rPr>
        <w:t>Verificar las cuentas que son 100% GND</w:t>
      </w:r>
    </w:p>
    <w:p w14:paraId="67C85D25" w14:textId="535084C1" w:rsidR="00CE27BE" w:rsidRPr="00AD340D" w:rsidRDefault="00CE27BE" w:rsidP="00CE27BE">
      <w:pPr>
        <w:pStyle w:val="Prrafodelista"/>
        <w:numPr>
          <w:ilvl w:val="0"/>
          <w:numId w:val="1"/>
        </w:numPr>
        <w:rPr>
          <w:rFonts w:ascii="Calibri" w:hAnsi="Calibri" w:cs="Calibri"/>
          <w:highlight w:val="yellow"/>
        </w:rPr>
      </w:pPr>
      <w:r w:rsidRPr="00AD340D">
        <w:rPr>
          <w:rFonts w:ascii="Calibri" w:hAnsi="Calibri" w:cs="Calibri"/>
          <w:highlight w:val="yellow"/>
        </w:rPr>
        <w:t>Verificar las cuentas que tengan alguna limitación de deducibilidad</w:t>
      </w:r>
    </w:p>
    <w:p w14:paraId="044D570F" w14:textId="333565B2" w:rsidR="00CE27BE" w:rsidRPr="00AD340D" w:rsidRDefault="00CE27BE" w:rsidP="00CE27BE">
      <w:pPr>
        <w:pStyle w:val="Prrafodelista"/>
        <w:numPr>
          <w:ilvl w:val="0"/>
          <w:numId w:val="1"/>
        </w:numPr>
        <w:rPr>
          <w:rFonts w:ascii="Calibri" w:hAnsi="Calibri" w:cs="Calibri"/>
          <w:highlight w:val="yellow"/>
        </w:rPr>
      </w:pPr>
      <w:r w:rsidRPr="00AD340D">
        <w:rPr>
          <w:rFonts w:ascii="Calibri" w:hAnsi="Calibri" w:cs="Calibri"/>
          <w:highlight w:val="yellow"/>
        </w:rPr>
        <w:t>Segmentar las cuentas con límite de deducibilidad.</w:t>
      </w:r>
    </w:p>
    <w:p w14:paraId="52E2B5C4" w14:textId="60844AD7" w:rsidR="00CE27BE" w:rsidRPr="00CD181C" w:rsidRDefault="00CE27BE" w:rsidP="00CE27BE">
      <w:pPr>
        <w:pStyle w:val="Prrafodelista"/>
        <w:numPr>
          <w:ilvl w:val="0"/>
          <w:numId w:val="1"/>
        </w:numPr>
        <w:rPr>
          <w:rFonts w:ascii="Calibri" w:hAnsi="Calibri" w:cs="Calibri"/>
        </w:rPr>
      </w:pPr>
      <w:r w:rsidRPr="00CD181C">
        <w:rPr>
          <w:rFonts w:ascii="Calibri" w:hAnsi="Calibri" w:cs="Calibri"/>
        </w:rPr>
        <w:t>Realizar el cálculo del impuesto a la renta</w:t>
      </w:r>
    </w:p>
    <w:p w14:paraId="5428F5FD" w14:textId="5520680F" w:rsidR="00CE27BE" w:rsidRPr="00CD181C" w:rsidRDefault="00CE27BE" w:rsidP="00CE27BE">
      <w:pPr>
        <w:pStyle w:val="Prrafodelista"/>
        <w:numPr>
          <w:ilvl w:val="0"/>
          <w:numId w:val="1"/>
        </w:numPr>
        <w:rPr>
          <w:rFonts w:ascii="Calibri" w:hAnsi="Calibri" w:cs="Calibri"/>
        </w:rPr>
      </w:pPr>
      <w:r w:rsidRPr="00CD181C">
        <w:rPr>
          <w:rFonts w:ascii="Calibri" w:hAnsi="Calibri" w:cs="Calibri"/>
        </w:rPr>
        <w:t>Realizar el cálculo de la Reserva Legal “si corresponde”</w:t>
      </w:r>
    </w:p>
    <w:p w14:paraId="0AE50A24" w14:textId="300ABD76" w:rsidR="00CE27BE" w:rsidRPr="00CD181C" w:rsidRDefault="00CE27BE" w:rsidP="00CE27BE">
      <w:pPr>
        <w:pStyle w:val="Prrafodelista"/>
        <w:numPr>
          <w:ilvl w:val="0"/>
          <w:numId w:val="1"/>
        </w:numPr>
        <w:rPr>
          <w:rFonts w:ascii="Calibri" w:hAnsi="Calibri" w:cs="Calibri"/>
        </w:rPr>
      </w:pPr>
      <w:r w:rsidRPr="00CD181C">
        <w:rPr>
          <w:rFonts w:ascii="Calibri" w:hAnsi="Calibri" w:cs="Calibri"/>
        </w:rPr>
        <w:t>Realizar el cálculo del IDU</w:t>
      </w:r>
    </w:p>
    <w:p w14:paraId="26EDD859" w14:textId="77777777" w:rsidR="00CE27BE" w:rsidRPr="00CD181C" w:rsidRDefault="00CE27BE" w:rsidP="00CE27BE">
      <w:pPr>
        <w:rPr>
          <w:rFonts w:ascii="Calibri" w:hAnsi="Calibri" w:cs="Calibri"/>
        </w:rPr>
      </w:pPr>
    </w:p>
    <w:p w14:paraId="141C8A8E" w14:textId="77777777" w:rsidR="00CE27BE" w:rsidRPr="00CD181C" w:rsidRDefault="00CE27BE" w:rsidP="00CE27BE">
      <w:pPr>
        <w:rPr>
          <w:rFonts w:ascii="Calibri" w:hAnsi="Calibri" w:cs="Calibri"/>
        </w:rPr>
      </w:pPr>
    </w:p>
    <w:p w14:paraId="54751AAA" w14:textId="77777777" w:rsidR="00CE27BE" w:rsidRPr="00CD181C" w:rsidRDefault="00CE27BE" w:rsidP="00CE27BE">
      <w:pPr>
        <w:rPr>
          <w:rFonts w:ascii="Calibri" w:hAnsi="Calibri" w:cs="Calibri"/>
        </w:rPr>
      </w:pPr>
    </w:p>
    <w:p w14:paraId="53686609" w14:textId="77777777" w:rsidR="00CE27BE" w:rsidRPr="00CD181C" w:rsidRDefault="00CE27BE" w:rsidP="00CE27BE">
      <w:pPr>
        <w:rPr>
          <w:rFonts w:ascii="Calibri" w:hAnsi="Calibri" w:cs="Calibri"/>
        </w:rPr>
      </w:pPr>
    </w:p>
    <w:p w14:paraId="37F45F9C" w14:textId="77777777" w:rsidR="00CE27BE" w:rsidRPr="00CD181C" w:rsidRDefault="00CE27BE" w:rsidP="00CE27BE">
      <w:pPr>
        <w:rPr>
          <w:rFonts w:ascii="Calibri" w:hAnsi="Calibri" w:cs="Calibri"/>
        </w:rPr>
      </w:pPr>
    </w:p>
    <w:p w14:paraId="0E57E543" w14:textId="77777777" w:rsidR="00CE27BE" w:rsidRPr="00CD181C" w:rsidRDefault="00CE27BE" w:rsidP="00CE27BE">
      <w:pPr>
        <w:rPr>
          <w:rFonts w:ascii="Calibri" w:hAnsi="Calibri" w:cs="Calibri"/>
        </w:rPr>
      </w:pPr>
    </w:p>
    <w:p w14:paraId="54CCF6E1" w14:textId="77777777" w:rsidR="00CE27BE" w:rsidRPr="00CD181C" w:rsidRDefault="00CE27BE" w:rsidP="00CE27BE">
      <w:pPr>
        <w:rPr>
          <w:rFonts w:ascii="Calibri" w:hAnsi="Calibri" w:cs="Calibri"/>
        </w:rPr>
      </w:pPr>
    </w:p>
    <w:p w14:paraId="5954C1F0" w14:textId="77777777" w:rsidR="00CE27BE" w:rsidRPr="00CD181C" w:rsidRDefault="00CE27BE" w:rsidP="00CE27BE">
      <w:pPr>
        <w:rPr>
          <w:rFonts w:ascii="Calibri" w:hAnsi="Calibri" w:cs="Calibri"/>
        </w:rPr>
      </w:pPr>
    </w:p>
    <w:p w14:paraId="73E60586" w14:textId="77777777" w:rsidR="00CE27BE" w:rsidRPr="00CD181C" w:rsidRDefault="00CE27BE" w:rsidP="00CE27BE">
      <w:pPr>
        <w:rPr>
          <w:rFonts w:ascii="Calibri" w:hAnsi="Calibri" w:cs="Calibri"/>
        </w:rPr>
      </w:pPr>
    </w:p>
    <w:p w14:paraId="6CA97315" w14:textId="77777777" w:rsidR="00CE27BE" w:rsidRPr="00CD181C" w:rsidRDefault="00CE27BE" w:rsidP="00CE27BE">
      <w:pPr>
        <w:rPr>
          <w:rFonts w:ascii="Calibri" w:hAnsi="Calibri" w:cs="Calibri"/>
        </w:rPr>
      </w:pPr>
    </w:p>
    <w:p w14:paraId="0CA8A2A5" w14:textId="77777777" w:rsidR="00CE27BE" w:rsidRPr="00CD181C" w:rsidRDefault="00CE27BE" w:rsidP="00CE27BE">
      <w:pPr>
        <w:rPr>
          <w:rFonts w:ascii="Calibri" w:hAnsi="Calibri" w:cs="Calibri"/>
        </w:rPr>
      </w:pPr>
    </w:p>
    <w:p w14:paraId="550138BD" w14:textId="77777777" w:rsidR="00CE27BE" w:rsidRPr="00CD181C" w:rsidRDefault="00CE27BE" w:rsidP="00CE27BE">
      <w:pPr>
        <w:rPr>
          <w:rFonts w:ascii="Calibri" w:hAnsi="Calibri" w:cs="Calibri"/>
        </w:rPr>
      </w:pPr>
    </w:p>
    <w:p w14:paraId="03F23CC5" w14:textId="77777777" w:rsidR="00CE27BE" w:rsidRPr="00CD181C" w:rsidRDefault="00CE27BE" w:rsidP="00CE27BE">
      <w:pPr>
        <w:rPr>
          <w:rFonts w:ascii="Calibri" w:hAnsi="Calibri" w:cs="Calibri"/>
        </w:rPr>
      </w:pPr>
    </w:p>
    <w:p w14:paraId="6EBA86CC" w14:textId="77777777" w:rsidR="00CE27BE" w:rsidRPr="00CD181C" w:rsidRDefault="00CE27BE" w:rsidP="00CE27BE">
      <w:pPr>
        <w:rPr>
          <w:rFonts w:ascii="Calibri" w:hAnsi="Calibri" w:cs="Calibri"/>
        </w:rPr>
      </w:pPr>
    </w:p>
    <w:p w14:paraId="1116CD85" w14:textId="77777777" w:rsidR="00CE27BE" w:rsidRPr="00CD181C" w:rsidRDefault="00CE27BE" w:rsidP="00CE27BE">
      <w:pPr>
        <w:rPr>
          <w:rFonts w:ascii="Calibri" w:hAnsi="Calibri" w:cs="Calibri"/>
        </w:rPr>
      </w:pPr>
    </w:p>
    <w:p w14:paraId="01B88916" w14:textId="77777777" w:rsidR="00CE27BE" w:rsidRPr="00CD181C" w:rsidRDefault="00CE27BE" w:rsidP="00CE27BE">
      <w:pPr>
        <w:rPr>
          <w:rFonts w:ascii="Calibri" w:hAnsi="Calibri" w:cs="Calibri"/>
        </w:rPr>
      </w:pPr>
    </w:p>
    <w:p w14:paraId="5ABC515E" w14:textId="20C5A2AF" w:rsidR="00CE27BE" w:rsidRPr="00CD181C" w:rsidRDefault="00CE27BE" w:rsidP="00CE27BE">
      <w:pPr>
        <w:pStyle w:val="Ttulo2"/>
        <w:rPr>
          <w:rFonts w:ascii="Calibri" w:hAnsi="Calibri" w:cs="Calibri"/>
          <w:sz w:val="24"/>
          <w:szCs w:val="24"/>
        </w:rPr>
      </w:pPr>
      <w:bookmarkStart w:id="2" w:name="_Toc184048031"/>
      <w:r w:rsidRPr="00CD181C">
        <w:rPr>
          <w:rFonts w:ascii="Calibri" w:hAnsi="Calibri" w:cs="Calibri"/>
          <w:sz w:val="24"/>
          <w:szCs w:val="24"/>
        </w:rPr>
        <w:lastRenderedPageBreak/>
        <w:t>Marco legal</w:t>
      </w:r>
      <w:bookmarkEnd w:id="2"/>
    </w:p>
    <w:p w14:paraId="2B3D43A2" w14:textId="77777777" w:rsidR="00CE27BE" w:rsidRPr="00CD181C" w:rsidRDefault="00CE27BE" w:rsidP="00CE27BE">
      <w:pPr>
        <w:rPr>
          <w:rFonts w:ascii="Calibri" w:hAnsi="Calibri" w:cs="Calibri"/>
        </w:rPr>
      </w:pPr>
    </w:p>
    <w:p w14:paraId="34BE1669" w14:textId="351B2026" w:rsidR="00CE27BE" w:rsidRPr="00133394" w:rsidRDefault="00CE27BE" w:rsidP="00A86E2A">
      <w:pPr>
        <w:pStyle w:val="Ttulo3"/>
        <w:rPr>
          <w:bCs/>
        </w:rPr>
      </w:pPr>
      <w:bookmarkStart w:id="3" w:name="_Toc184048032"/>
      <w:r w:rsidRPr="00133394">
        <w:rPr>
          <w:bCs/>
        </w:rPr>
        <w:t>Ley 6380/19 - Artículo 15.- Gastos Deducibles.</w:t>
      </w:r>
      <w:bookmarkEnd w:id="3"/>
      <w:r w:rsidRPr="00133394">
        <w:rPr>
          <w:bCs/>
        </w:rPr>
        <w:t xml:space="preserve"> </w:t>
      </w:r>
    </w:p>
    <w:p w14:paraId="7B6E8A64" w14:textId="77777777" w:rsidR="00CE27BE" w:rsidRPr="00CD181C" w:rsidRDefault="00CE27BE" w:rsidP="00CE27BE">
      <w:pPr>
        <w:jc w:val="both"/>
        <w:rPr>
          <w:rFonts w:ascii="Calibri" w:hAnsi="Calibri" w:cs="Calibri"/>
        </w:rPr>
      </w:pPr>
      <w:r w:rsidRPr="00CD181C">
        <w:rPr>
          <w:rFonts w:ascii="Calibri" w:hAnsi="Calibri" w:cs="Calibri"/>
        </w:rPr>
        <w:t>Siempre que se reúnan las condiciones y los requisitos señalados en el artículo 14 de la presente ley, se admitirá deducir:</w:t>
      </w:r>
    </w:p>
    <w:p w14:paraId="5AC00CC5"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Los tributos y cargas sociales</w:t>
      </w:r>
      <w:r w:rsidRPr="00CD181C">
        <w:rPr>
          <w:rFonts w:ascii="Calibri" w:hAnsi="Calibri" w:cs="Calibri"/>
          <w:color w:val="000000"/>
        </w:rPr>
        <w:t xml:space="preserve"> que recaen sobre la actividad, bienes y derechos afectados a la producción de rentas.</w:t>
      </w:r>
    </w:p>
    <w:p w14:paraId="14B6D7E2"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El IVA incluido en las compras de bienes, servicios e importaciones que afecten directa o indistintamente a operaciones no gravadas, exentas y no alcanzadas por el mencionado impuesto</w:t>
      </w:r>
      <w:r w:rsidRPr="00CD181C">
        <w:rPr>
          <w:rFonts w:ascii="Calibri" w:hAnsi="Calibri" w:cs="Calibri"/>
          <w:color w:val="000000"/>
        </w:rPr>
        <w:t xml:space="preserve"> en la porción que no constituya IVA Crédito; y el afectado a las exportaciones no sujetas a devolución del IVA.</w:t>
      </w:r>
    </w:p>
    <w:p w14:paraId="4584A54F"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Los gastos generales del negocio</w:t>
      </w:r>
      <w:r w:rsidRPr="00CD181C">
        <w:rPr>
          <w:rFonts w:ascii="Calibri" w:hAnsi="Calibri" w:cs="Calibri"/>
          <w:color w:val="000000"/>
        </w:rPr>
        <w:t>, tales como: alumbrado, fuerza motriz, fletes, telecomunicaciones, publicidad, prima de seguros contra riesgos inherentes al negocio, útiles de escritorio y mantenimiento de equipos.</w:t>
      </w:r>
    </w:p>
    <w:p w14:paraId="0CC6A7FC"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highlight w:val="yellow"/>
          <w:u w:val="single"/>
        </w:rPr>
        <w:t>Las remuneraciones o contribuciones pagadas al personal</w:t>
      </w:r>
      <w:r w:rsidRPr="00CD181C">
        <w:rPr>
          <w:rFonts w:ascii="Calibri" w:hAnsi="Calibri" w:cs="Calibri"/>
          <w:color w:val="000000"/>
          <w:highlight w:val="yellow"/>
        </w:rPr>
        <w:t xml:space="preserve">, por servicios prestados en relación de dependencia, </w:t>
      </w:r>
      <w:r w:rsidRPr="00CD181C">
        <w:rPr>
          <w:rFonts w:ascii="Calibri" w:hAnsi="Calibri" w:cs="Calibri"/>
          <w:b/>
          <w:color w:val="0070C0"/>
          <w:highlight w:val="yellow"/>
        </w:rPr>
        <w:t>siempre que se haya aportado a un seguro social creado o admitido por ley o Decreto - Ley.</w:t>
      </w:r>
      <w:r w:rsidRPr="00CD181C">
        <w:rPr>
          <w:rFonts w:ascii="Calibri" w:hAnsi="Calibri" w:cs="Calibri"/>
          <w:color w:val="000000"/>
          <w:highlight w:val="yellow"/>
        </w:rPr>
        <w:t xml:space="preserve"> </w:t>
      </w:r>
      <w:commentRangeStart w:id="4"/>
      <w:r w:rsidRPr="00CD181C">
        <w:rPr>
          <w:rFonts w:ascii="Calibri" w:hAnsi="Calibri" w:cs="Calibri"/>
          <w:b/>
          <w:color w:val="FF0000"/>
          <w:highlight w:val="yellow"/>
          <w:u w:val="single"/>
        </w:rPr>
        <w:t>En el caso que no correspondiere efectuar el aporte al seguro social, serán deducibles siempre que las remuneraciones sean pagadas al personal contribuyente del IRP</w:t>
      </w:r>
      <w:r w:rsidRPr="00CD181C">
        <w:rPr>
          <w:rFonts w:ascii="Calibri" w:hAnsi="Calibri" w:cs="Calibri"/>
          <w:color w:val="000000"/>
        </w:rPr>
        <w:t>.</w:t>
      </w:r>
      <w:commentRangeEnd w:id="4"/>
      <w:r w:rsidRPr="00CD181C">
        <w:rPr>
          <w:rFonts w:ascii="Calibri" w:hAnsi="Calibri" w:cs="Calibri"/>
        </w:rPr>
        <w:commentReference w:id="4"/>
      </w:r>
    </w:p>
    <w:p w14:paraId="3C2731AF"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El aguinaldo o décimo tercer salario</w:t>
      </w:r>
      <w:r w:rsidRPr="00CD181C">
        <w:rPr>
          <w:rFonts w:ascii="Calibri" w:hAnsi="Calibri" w:cs="Calibri"/>
          <w:color w:val="000000"/>
        </w:rPr>
        <w:t xml:space="preserve"> exigido por el Código del Trabajo.</w:t>
      </w:r>
    </w:p>
    <w:p w14:paraId="46A9D6D3"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Los beneficios otorgados a los trabajadores en relación de dependencia</w:t>
      </w:r>
      <w:r w:rsidRPr="00CD181C">
        <w:rPr>
          <w:rFonts w:ascii="Calibri" w:hAnsi="Calibri" w:cs="Calibri"/>
          <w:color w:val="000000"/>
        </w:rPr>
        <w:t>, conforme al artículo 93 de la Constitución y a la norma legal que lo reglamente.</w:t>
      </w:r>
    </w:p>
    <w:p w14:paraId="7CA324BB"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highlight w:val="yellow"/>
        </w:rPr>
      </w:pPr>
      <w:r w:rsidRPr="00CD181C">
        <w:rPr>
          <w:rFonts w:ascii="Calibri" w:hAnsi="Calibri" w:cs="Calibri"/>
          <w:b/>
          <w:color w:val="000000"/>
          <w:highlight w:val="yellow"/>
          <w:u w:val="single"/>
        </w:rPr>
        <w:t>Las remuneraciones por servicios personales cuando no sean prestados en relación de dependencia</w:t>
      </w:r>
      <w:r w:rsidRPr="00CD181C">
        <w:rPr>
          <w:rFonts w:ascii="Calibri" w:hAnsi="Calibri" w:cs="Calibri"/>
          <w:color w:val="000000"/>
          <w:highlight w:val="yellow"/>
        </w:rPr>
        <w:t xml:space="preserve">, </w:t>
      </w:r>
      <w:r w:rsidRPr="00CD181C">
        <w:rPr>
          <w:rFonts w:ascii="Calibri" w:hAnsi="Calibri" w:cs="Calibri"/>
          <w:b/>
          <w:color w:val="FF0000"/>
          <w:highlight w:val="yellow"/>
          <w:u w:val="single"/>
        </w:rPr>
        <w:t>incluidas las remuneraciones del dueño de una empresa unipersona</w:t>
      </w:r>
      <w:r w:rsidRPr="00CD181C">
        <w:rPr>
          <w:rFonts w:ascii="Calibri" w:hAnsi="Calibri" w:cs="Calibri"/>
          <w:color w:val="FF0000"/>
          <w:highlight w:val="yellow"/>
        </w:rPr>
        <w:t>l</w:t>
      </w:r>
      <w:r w:rsidRPr="00CD181C">
        <w:rPr>
          <w:rFonts w:ascii="Calibri" w:hAnsi="Calibri" w:cs="Calibri"/>
          <w:color w:val="000000"/>
          <w:highlight w:val="yellow"/>
        </w:rPr>
        <w:t xml:space="preserve">, siempre que el prestador del servicio sea </w:t>
      </w:r>
      <w:r w:rsidRPr="00CD181C">
        <w:rPr>
          <w:rFonts w:ascii="Calibri" w:hAnsi="Calibri" w:cs="Calibri"/>
          <w:b/>
          <w:color w:val="0070C0"/>
          <w:highlight w:val="yellow"/>
          <w:u w:val="single"/>
        </w:rPr>
        <w:t>contribuyente del IRP o INR</w:t>
      </w:r>
      <w:r w:rsidRPr="00CD181C">
        <w:rPr>
          <w:rFonts w:ascii="Calibri" w:hAnsi="Calibri" w:cs="Calibri"/>
          <w:color w:val="000000"/>
          <w:highlight w:val="yellow"/>
        </w:rPr>
        <w:t>.</w:t>
      </w:r>
    </w:p>
    <w:p w14:paraId="19C51019"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b/>
          <w:color w:val="FF0000"/>
        </w:rPr>
      </w:pPr>
      <w:r w:rsidRPr="00CD181C">
        <w:rPr>
          <w:rFonts w:ascii="Calibri" w:hAnsi="Calibri" w:cs="Calibri"/>
          <w:color w:val="000000"/>
        </w:rPr>
        <w:t xml:space="preserve">Las </w:t>
      </w:r>
      <w:r w:rsidRPr="00CD181C">
        <w:rPr>
          <w:rFonts w:ascii="Calibri" w:hAnsi="Calibri" w:cs="Calibri"/>
          <w:b/>
          <w:color w:val="000000"/>
          <w:u w:val="single"/>
        </w:rPr>
        <w:t>remuneraciones porcentuales de las utilidades líquidas por servicios de carácter personal</w:t>
      </w:r>
      <w:r w:rsidRPr="00CD181C">
        <w:rPr>
          <w:rFonts w:ascii="Calibri" w:hAnsi="Calibri" w:cs="Calibri"/>
          <w:color w:val="000000"/>
        </w:rPr>
        <w:t xml:space="preserve">, que no se encuentran en relación de dependencia y pagadas en dinero, </w:t>
      </w:r>
      <w:r w:rsidRPr="00CD181C">
        <w:rPr>
          <w:rFonts w:ascii="Calibri" w:hAnsi="Calibri" w:cs="Calibri"/>
          <w:b/>
          <w:color w:val="FF0000"/>
        </w:rPr>
        <w:t>siempre que el beneficiario del pago sea contribuyente del IRP.</w:t>
      </w:r>
    </w:p>
    <w:p w14:paraId="380753CB"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Los gastos de constitución y organización</w:t>
      </w:r>
      <w:r w:rsidRPr="00CD181C">
        <w:rPr>
          <w:rFonts w:ascii="Calibri" w:hAnsi="Calibri" w:cs="Calibri"/>
          <w:color w:val="000000"/>
        </w:rPr>
        <w:t>, incluidos los denominados gastos preoperativos y los de reorganización por adquisición, fusión, escisión, cambios de modelo de negocio, cambios de marca o logos</w:t>
      </w:r>
      <w:r w:rsidRPr="00CD181C">
        <w:rPr>
          <w:rFonts w:ascii="Calibri" w:hAnsi="Calibri" w:cs="Calibri"/>
          <w:b/>
          <w:color w:val="000000"/>
        </w:rPr>
        <w:t>, podrán ser amortizados</w:t>
      </w:r>
      <w:r w:rsidRPr="00CD181C">
        <w:rPr>
          <w:rFonts w:ascii="Calibri" w:hAnsi="Calibri" w:cs="Calibri"/>
          <w:color w:val="000000"/>
        </w:rPr>
        <w:t xml:space="preserve"> en un período de hasta cinco años </w:t>
      </w:r>
      <w:r w:rsidRPr="00CD181C">
        <w:rPr>
          <w:rFonts w:ascii="Calibri" w:hAnsi="Calibri" w:cs="Calibri"/>
          <w:b/>
          <w:color w:val="000000"/>
        </w:rPr>
        <w:t>a opción del contribuyente</w:t>
      </w:r>
      <w:r w:rsidRPr="00CD181C">
        <w:rPr>
          <w:rFonts w:ascii="Calibri" w:hAnsi="Calibri" w:cs="Calibri"/>
          <w:color w:val="000000"/>
        </w:rPr>
        <w:t>.</w:t>
      </w:r>
    </w:p>
    <w:p w14:paraId="0C265BE1"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Las erogaciones por concepto de intereses, alquileres o cesión del uso de bienes y derechos serán admitidas cuando para el acreedor constituyan ingresos gravados por algunos de los Impuestos a las Rentas</w:t>
      </w:r>
      <w:r w:rsidRPr="00CD181C">
        <w:rPr>
          <w:rFonts w:ascii="Calibri" w:hAnsi="Calibri" w:cs="Calibri"/>
          <w:color w:val="000000"/>
        </w:rPr>
        <w:t xml:space="preserve"> y siempre que estas </w:t>
      </w:r>
      <w:r w:rsidRPr="00CD181C">
        <w:rPr>
          <w:rFonts w:ascii="Calibri" w:hAnsi="Calibri" w:cs="Calibri"/>
          <w:b/>
          <w:bCs/>
          <w:color w:val="000000"/>
        </w:rPr>
        <w:t xml:space="preserve">erogaciones </w:t>
      </w:r>
      <w:r w:rsidRPr="00CD181C">
        <w:rPr>
          <w:rFonts w:ascii="Calibri" w:hAnsi="Calibri" w:cs="Calibri"/>
          <w:b/>
          <w:bCs/>
          <w:color w:val="000000"/>
          <w:highlight w:val="yellow"/>
        </w:rPr>
        <w:t xml:space="preserve">no sean superiores al precio de mercado o devenguen intereses a tasas que no superen el promedio de las </w:t>
      </w:r>
      <w:r w:rsidRPr="00CD181C">
        <w:rPr>
          <w:rFonts w:ascii="Calibri" w:hAnsi="Calibri" w:cs="Calibri"/>
          <w:b/>
          <w:bCs/>
          <w:color w:val="FF0000"/>
          <w:highlight w:val="yellow"/>
        </w:rPr>
        <w:t>tasas pasivas</w:t>
      </w:r>
      <w:r w:rsidRPr="00CD181C">
        <w:rPr>
          <w:rFonts w:ascii="Calibri" w:hAnsi="Calibri" w:cs="Calibri"/>
          <w:b/>
          <w:bCs/>
          <w:color w:val="000000"/>
          <w:highlight w:val="yellow"/>
        </w:rPr>
        <w:t xml:space="preserve"> </w:t>
      </w:r>
      <w:r w:rsidRPr="00CD181C">
        <w:rPr>
          <w:rFonts w:ascii="Calibri" w:hAnsi="Calibri" w:cs="Calibri"/>
          <w:b/>
          <w:bCs/>
          <w:color w:val="FF0000"/>
          <w:highlight w:val="yellow"/>
        </w:rPr>
        <w:t xml:space="preserve">del mercado bancario </w:t>
      </w:r>
      <w:r w:rsidRPr="00CD181C">
        <w:rPr>
          <w:rFonts w:ascii="Calibri" w:hAnsi="Calibri" w:cs="Calibri"/>
          <w:b/>
          <w:bCs/>
          <w:color w:val="000000"/>
          <w:highlight w:val="yellow"/>
        </w:rPr>
        <w:t>y financiero, aplicables a operaciones de similares características</w:t>
      </w:r>
      <w:r w:rsidRPr="00CD181C">
        <w:rPr>
          <w:rFonts w:ascii="Calibri" w:hAnsi="Calibri" w:cs="Calibri"/>
          <w:color w:val="000000"/>
        </w:rPr>
        <w:t xml:space="preserve"> de acuerdo con la publicación del promedio de tasas emanadas del Banco Central del Paraguay; esta condición no será aplicable a las entidades regidas por la Ley </w:t>
      </w:r>
      <w:proofErr w:type="spellStart"/>
      <w:r w:rsidRPr="00CD181C">
        <w:rPr>
          <w:rFonts w:ascii="Calibri" w:hAnsi="Calibri" w:cs="Calibri"/>
          <w:color w:val="000000"/>
        </w:rPr>
        <w:t>N°</w:t>
      </w:r>
      <w:proofErr w:type="spellEnd"/>
      <w:r w:rsidRPr="00CD181C">
        <w:rPr>
          <w:rFonts w:ascii="Calibri" w:hAnsi="Calibri" w:cs="Calibri"/>
          <w:color w:val="000000"/>
        </w:rPr>
        <w:t xml:space="preserve"> 861/1996, respecto a los intereses.</w:t>
      </w:r>
    </w:p>
    <w:p w14:paraId="369F8501"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lastRenderedPageBreak/>
        <w:t>Las pérdidas extraordinarias debidamente probadas</w:t>
      </w:r>
      <w:r w:rsidRPr="00CD181C">
        <w:rPr>
          <w:rFonts w:ascii="Calibri" w:hAnsi="Calibri" w:cs="Calibri"/>
          <w:color w:val="000000"/>
        </w:rPr>
        <w:t xml:space="preserve">, sufridas en los bienes del negocio o explotación, por casos fortuitos o de fuerza mayor, como incendio u otros accidentes o siniestros, </w:t>
      </w:r>
      <w:r w:rsidRPr="00CD181C">
        <w:rPr>
          <w:rFonts w:ascii="Calibri" w:hAnsi="Calibri" w:cs="Calibri"/>
          <w:b/>
          <w:color w:val="FF0000"/>
        </w:rPr>
        <w:t>en cuanto no estuvieren cubiertas por seguros o indemnizaciones.</w:t>
      </w:r>
    </w:p>
    <w:p w14:paraId="20BE4F08"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Los castigos sobre malos créditos</w:t>
      </w:r>
      <w:r w:rsidRPr="00CD181C">
        <w:rPr>
          <w:rFonts w:ascii="Calibri" w:hAnsi="Calibri" w:cs="Calibri"/>
          <w:color w:val="000000"/>
        </w:rPr>
        <w:t>.</w:t>
      </w:r>
    </w:p>
    <w:p w14:paraId="3FEAAD50"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t xml:space="preserve">Las pérdidas </w:t>
      </w:r>
      <w:r w:rsidRPr="00CD181C">
        <w:rPr>
          <w:rFonts w:ascii="Calibri" w:hAnsi="Calibri" w:cs="Calibri"/>
          <w:b/>
          <w:color w:val="000000"/>
          <w:u w:val="single"/>
        </w:rPr>
        <w:t>originadas por delitos cometidos por terceros</w:t>
      </w:r>
      <w:r w:rsidRPr="00CD181C">
        <w:rPr>
          <w:rFonts w:ascii="Calibri" w:hAnsi="Calibri" w:cs="Calibri"/>
          <w:color w:val="000000"/>
        </w:rPr>
        <w:t xml:space="preserve">, contra los bienes aplicados a la obtención de rentas gravadas, </w:t>
      </w:r>
      <w:r w:rsidRPr="00CD181C">
        <w:rPr>
          <w:rFonts w:ascii="Calibri" w:hAnsi="Calibri" w:cs="Calibri"/>
          <w:b/>
          <w:color w:val="FF0000"/>
        </w:rPr>
        <w:t>en cuanto no fueren cubiertas por seguros o indemnizaciones.</w:t>
      </w:r>
    </w:p>
    <w:p w14:paraId="2907B3E0"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color w:val="FF0000"/>
        </w:rPr>
      </w:pPr>
      <w:commentRangeStart w:id="5"/>
      <w:r w:rsidRPr="00CD181C">
        <w:rPr>
          <w:rFonts w:ascii="Calibri" w:hAnsi="Calibri" w:cs="Calibri"/>
          <w:b/>
          <w:color w:val="000000"/>
          <w:u w:val="single"/>
        </w:rPr>
        <w:t>La pérdida de inventario proveniente de la mortandad del ganado</w:t>
      </w:r>
      <w:r w:rsidRPr="00CD181C">
        <w:rPr>
          <w:rFonts w:ascii="Calibri" w:hAnsi="Calibri" w:cs="Calibri"/>
          <w:color w:val="000000"/>
        </w:rPr>
        <w:t xml:space="preserve"> </w:t>
      </w:r>
      <w:r w:rsidRPr="00CD181C">
        <w:rPr>
          <w:rFonts w:ascii="Calibri" w:hAnsi="Calibri" w:cs="Calibri"/>
          <w:b/>
          <w:color w:val="FF0000"/>
        </w:rPr>
        <w:t>vacuno comprado,</w:t>
      </w:r>
      <w:r w:rsidRPr="00CD181C">
        <w:rPr>
          <w:rFonts w:ascii="Calibri" w:hAnsi="Calibri" w:cs="Calibri"/>
          <w:color w:val="FF0000"/>
        </w:rPr>
        <w:t xml:space="preserve"> </w:t>
      </w:r>
      <w:r w:rsidRPr="00CD181C">
        <w:rPr>
          <w:rFonts w:ascii="Calibri" w:hAnsi="Calibri" w:cs="Calibri"/>
          <w:color w:val="000000"/>
        </w:rPr>
        <w:t xml:space="preserve">siempre que haya sido declarada y </w:t>
      </w:r>
      <w:r w:rsidRPr="00CD181C">
        <w:rPr>
          <w:rFonts w:ascii="Calibri" w:hAnsi="Calibri" w:cs="Calibri"/>
          <w:color w:val="FF0000"/>
        </w:rPr>
        <w:t>registrada previamente ante la autoridad sanitaria nacional</w:t>
      </w:r>
      <w:commentRangeEnd w:id="5"/>
      <w:r w:rsidRPr="00CD181C">
        <w:rPr>
          <w:rFonts w:ascii="Calibri" w:hAnsi="Calibri" w:cs="Calibri"/>
        </w:rPr>
        <w:commentReference w:id="5"/>
      </w:r>
      <w:r w:rsidRPr="00CD181C">
        <w:rPr>
          <w:rFonts w:ascii="Calibri" w:hAnsi="Calibri" w:cs="Calibri"/>
          <w:color w:val="FF0000"/>
        </w:rPr>
        <w:t>.</w:t>
      </w:r>
    </w:p>
    <w:p w14:paraId="278C5BBD"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Las depreciaciones por desgaste</w:t>
      </w:r>
      <w:r w:rsidRPr="00CD181C">
        <w:rPr>
          <w:rFonts w:ascii="Calibri" w:hAnsi="Calibri" w:cs="Calibri"/>
          <w:color w:val="000000"/>
        </w:rPr>
        <w:t>, obsolescencia y agotamiento.</w:t>
      </w:r>
    </w:p>
    <w:p w14:paraId="4EA82073"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Las amortizaciones de bienes intangibles</w:t>
      </w:r>
      <w:r w:rsidRPr="00CD181C">
        <w:rPr>
          <w:rFonts w:ascii="Calibri" w:hAnsi="Calibri" w:cs="Calibri"/>
          <w:color w:val="000000"/>
        </w:rPr>
        <w:t xml:space="preserve"> tales como las marcas, patentes, privilegios y el valor llave generado en una combinación de negocios, siempre que al momento de la adquisición hayan estado gravados por alguno de los Impuestos a las Rentas por parte del enajenante.</w:t>
      </w:r>
    </w:p>
    <w:p w14:paraId="22F1BDDC"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 xml:space="preserve">Las reservas matemáticas y similares </w:t>
      </w:r>
      <w:r w:rsidRPr="00CD181C">
        <w:rPr>
          <w:rFonts w:ascii="Calibri" w:hAnsi="Calibri" w:cs="Calibri"/>
          <w:color w:val="000000"/>
        </w:rPr>
        <w:t xml:space="preserve">establecidas por leyes y reglamentos para las compañías de seguros y las destinadas a reservas para mantener su capital mínimo provenientes de las diferencias de cambio. Para las entidades bancarias y financieras regidas por la Ley </w:t>
      </w:r>
      <w:proofErr w:type="spellStart"/>
      <w:r w:rsidRPr="00CD181C">
        <w:rPr>
          <w:rFonts w:ascii="Calibri" w:hAnsi="Calibri" w:cs="Calibri"/>
          <w:color w:val="000000"/>
        </w:rPr>
        <w:t>N°</w:t>
      </w:r>
      <w:proofErr w:type="spellEnd"/>
      <w:r w:rsidRPr="00CD181C">
        <w:rPr>
          <w:rFonts w:ascii="Calibri" w:hAnsi="Calibri" w:cs="Calibri"/>
          <w:color w:val="000000"/>
        </w:rPr>
        <w:t xml:space="preserve"> 861/1996, serán deducibles las utilidades del ejercicio que se destinen a mantener el capital mínimo ajustado a la inflación y las previsiones sobre malos créditos, dentro de los límites establecidos por el Banco Central del Paraguay.</w:t>
      </w:r>
    </w:p>
    <w:p w14:paraId="2F0D71D9"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commentRangeStart w:id="6"/>
      <w:r w:rsidRPr="00CD181C">
        <w:rPr>
          <w:rFonts w:ascii="Calibri" w:hAnsi="Calibri" w:cs="Calibri"/>
          <w:b/>
          <w:color w:val="000000"/>
          <w:u w:val="single"/>
        </w:rPr>
        <w:t>Los gastos y erogaciones en el exterior</w:t>
      </w:r>
      <w:r w:rsidRPr="00CD181C">
        <w:rPr>
          <w:rFonts w:ascii="Calibri" w:hAnsi="Calibri" w:cs="Calibri"/>
          <w:color w:val="000000"/>
        </w:rPr>
        <w:t xml:space="preserve"> </w:t>
      </w:r>
      <w:r w:rsidRPr="00CD181C">
        <w:rPr>
          <w:rFonts w:ascii="Calibri" w:hAnsi="Calibri" w:cs="Calibri"/>
          <w:b/>
          <w:color w:val="000000"/>
          <w:highlight w:val="yellow"/>
        </w:rPr>
        <w:t xml:space="preserve">en cuanto sean necesarios para la obtención de las rentas </w:t>
      </w:r>
      <w:r w:rsidRPr="00CD181C">
        <w:rPr>
          <w:rFonts w:ascii="Calibri" w:hAnsi="Calibri" w:cs="Calibri"/>
          <w:b/>
          <w:color w:val="FF0000"/>
          <w:highlight w:val="yellow"/>
        </w:rPr>
        <w:t>gravadas</w:t>
      </w:r>
      <w:r w:rsidRPr="00CD181C">
        <w:rPr>
          <w:rFonts w:ascii="Calibri" w:hAnsi="Calibri" w:cs="Calibri"/>
          <w:b/>
          <w:color w:val="000000"/>
          <w:highlight w:val="yellow"/>
        </w:rPr>
        <w:t>, estarán limitados al 1% (uno por ciento) de la Renta Bruta</w:t>
      </w:r>
      <w:commentRangeEnd w:id="6"/>
      <w:r w:rsidRPr="00CD181C">
        <w:rPr>
          <w:rFonts w:ascii="Calibri" w:hAnsi="Calibri" w:cs="Calibri"/>
        </w:rPr>
        <w:commentReference w:id="6"/>
      </w:r>
      <w:r w:rsidRPr="00CD181C">
        <w:rPr>
          <w:rFonts w:ascii="Calibri" w:hAnsi="Calibri" w:cs="Calibri"/>
          <w:color w:val="000000"/>
        </w:rPr>
        <w:t>, salvo que el proveedor esté sujeto al INR y se realice la retención, en cuyo caso el gasto será completamente deducible.</w:t>
      </w:r>
    </w:p>
    <w:p w14:paraId="31D54BE7"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color w:val="000000"/>
          <w:highlight w:val="yellow"/>
        </w:rPr>
      </w:pPr>
      <w:r w:rsidRPr="00CD181C">
        <w:rPr>
          <w:rFonts w:ascii="Calibri" w:hAnsi="Calibri" w:cs="Calibri"/>
          <w:b/>
          <w:color w:val="000000"/>
          <w:u w:val="single"/>
        </w:rPr>
        <w:t>Los gastos de movilidad y viáticos</w:t>
      </w:r>
      <w:r w:rsidRPr="00CD181C">
        <w:rPr>
          <w:rFonts w:ascii="Calibri" w:hAnsi="Calibri" w:cs="Calibri"/>
          <w:color w:val="000000"/>
        </w:rPr>
        <w:t xml:space="preserve">, siempre que las rendiciones de cuentas se hallen debidamente respaldadas con la documentación legal desde el punto de vista impositivo. </w:t>
      </w:r>
      <w:r w:rsidRPr="00CD181C">
        <w:rPr>
          <w:rFonts w:ascii="Calibri" w:hAnsi="Calibri" w:cs="Calibri"/>
          <w:color w:val="000000"/>
          <w:highlight w:val="yellow"/>
        </w:rPr>
        <w:t>En caso de que constituya gasto sin cargo a rendir cuenta, a efectos de la deducibilidad se le dará igual tratamiento que el salario o la remuneración del personal que haya incurrido en dichos gastos.</w:t>
      </w:r>
    </w:p>
    <w:p w14:paraId="5ECDADFD"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FF0000"/>
          <w:highlight w:val="yellow"/>
          <w:u w:val="single"/>
        </w:rPr>
        <w:t>Las donaciones al Estado</w:t>
      </w:r>
      <w:r w:rsidRPr="00CD181C">
        <w:rPr>
          <w:rFonts w:ascii="Calibri" w:hAnsi="Calibri" w:cs="Calibri"/>
          <w:b/>
          <w:color w:val="FF0000"/>
          <w:highlight w:val="yellow"/>
          <w:u w:val="double"/>
        </w:rPr>
        <w:t>, a las Municipalidades</w:t>
      </w:r>
      <w:r w:rsidRPr="00CD181C">
        <w:rPr>
          <w:rFonts w:ascii="Calibri" w:hAnsi="Calibri" w:cs="Calibri"/>
          <w:b/>
          <w:color w:val="FF0000"/>
          <w:u w:val="single"/>
        </w:rPr>
        <w:t xml:space="preserve">, a </w:t>
      </w:r>
      <w:r w:rsidRPr="00CD181C">
        <w:rPr>
          <w:rFonts w:ascii="Calibri" w:hAnsi="Calibri" w:cs="Calibri"/>
          <w:b/>
          <w:color w:val="FF0000"/>
          <w:highlight w:val="cyan"/>
          <w:u w:val="single"/>
        </w:rPr>
        <w:t>la Iglesia Católica y demás entidades religiosas reconocidas por las autoridades competentes</w:t>
      </w:r>
      <w:r w:rsidRPr="00CD181C">
        <w:rPr>
          <w:rFonts w:ascii="Calibri" w:hAnsi="Calibri" w:cs="Calibri"/>
          <w:b/>
          <w:color w:val="000000"/>
          <w:u w:val="single"/>
        </w:rPr>
        <w:t xml:space="preserve">, </w:t>
      </w:r>
      <w:r w:rsidRPr="00CD181C">
        <w:rPr>
          <w:rFonts w:ascii="Calibri" w:hAnsi="Calibri" w:cs="Calibri"/>
          <w:b/>
          <w:color w:val="FF0000"/>
          <w:u w:val="single"/>
        </w:rPr>
        <w:t>así como las entidades con personería jurídica de asistencia sanitaria, social, educativa, cultural, caridad o beneficencia</w:t>
      </w:r>
      <w:r w:rsidRPr="00CD181C">
        <w:rPr>
          <w:rFonts w:ascii="Calibri" w:hAnsi="Calibri" w:cs="Calibri"/>
          <w:color w:val="000000"/>
        </w:rPr>
        <w:t>, que previamente fueran reconocidas como entidad de beneficio público por la Administración.</w:t>
      </w:r>
    </w:p>
    <w:p w14:paraId="1398B148"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highlight w:val="yellow"/>
          <w:u w:val="single"/>
        </w:rPr>
        <w:t>Los gastos y contribuciones realizados a favor del personal</w:t>
      </w:r>
      <w:r w:rsidRPr="00CD181C">
        <w:rPr>
          <w:rFonts w:ascii="Calibri" w:hAnsi="Calibri" w:cs="Calibri"/>
          <w:color w:val="000000"/>
          <w:highlight w:val="yellow"/>
        </w:rPr>
        <w:t xml:space="preserve"> en relación de dependencia contratados con terceros, consistentes en </w:t>
      </w:r>
      <w:commentRangeStart w:id="7"/>
      <w:r w:rsidRPr="00CD181C">
        <w:rPr>
          <w:rFonts w:ascii="Calibri" w:hAnsi="Calibri" w:cs="Calibri"/>
          <w:b/>
          <w:color w:val="000000"/>
          <w:highlight w:val="yellow"/>
        </w:rPr>
        <w:t>habitación, víveres, provisiones, sepelios, asistencia sanitaria, entrenamiento, educación continua y formación técnica o cultural</w:t>
      </w:r>
      <w:commentRangeEnd w:id="7"/>
      <w:r w:rsidRPr="00CD181C">
        <w:rPr>
          <w:rFonts w:ascii="Calibri" w:hAnsi="Calibri" w:cs="Calibri"/>
          <w:highlight w:val="yellow"/>
        </w:rPr>
        <w:commentReference w:id="7"/>
      </w:r>
      <w:r w:rsidRPr="00CD181C">
        <w:rPr>
          <w:rFonts w:ascii="Calibri" w:hAnsi="Calibri" w:cs="Calibri"/>
          <w:color w:val="000000"/>
          <w:highlight w:val="yellow"/>
        </w:rPr>
        <w:t>, y estén debidamente documentados a nombre del contribuyente</w:t>
      </w:r>
      <w:r w:rsidRPr="00CD181C">
        <w:rPr>
          <w:rFonts w:ascii="Calibri" w:hAnsi="Calibri" w:cs="Calibri"/>
          <w:color w:val="000000"/>
        </w:rPr>
        <w:t>.</w:t>
      </w:r>
    </w:p>
    <w:p w14:paraId="63D5DFFC"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b/>
          <w:color w:val="000000"/>
          <w:u w:val="single"/>
        </w:rPr>
        <w:t>Las erogaciones en que incurra el contribuyente que explote un establecimiento agropecuario</w:t>
      </w:r>
      <w:r w:rsidRPr="00CD181C">
        <w:rPr>
          <w:rFonts w:ascii="Calibri" w:hAnsi="Calibri" w:cs="Calibri"/>
          <w:color w:val="000000"/>
        </w:rPr>
        <w:t xml:space="preserve">, </w:t>
      </w:r>
      <w:r w:rsidRPr="00CD181C">
        <w:rPr>
          <w:rFonts w:ascii="Calibri" w:hAnsi="Calibri" w:cs="Calibri"/>
          <w:color w:val="FF0000"/>
        </w:rPr>
        <w:t>en fincas colindantes o cercanas al mismo</w:t>
      </w:r>
      <w:r w:rsidRPr="00CD181C">
        <w:rPr>
          <w:rFonts w:ascii="Calibri" w:hAnsi="Calibri" w:cs="Calibri"/>
          <w:color w:val="000000"/>
        </w:rPr>
        <w:t>, cuando sean necesarias para permitir o facilitar la referida explotación, siempre que sea a favor de personas físicas no contribuyentes de alguno de los Impuestos a las Rentas.</w:t>
      </w:r>
    </w:p>
    <w:p w14:paraId="1EFEB5AB" w14:textId="77777777" w:rsidR="00CE27BE" w:rsidRPr="00CD181C" w:rsidRDefault="00CE27BE" w:rsidP="00CE27BE">
      <w:pPr>
        <w:numPr>
          <w:ilvl w:val="0"/>
          <w:numId w:val="2"/>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lastRenderedPageBreak/>
        <w:t xml:space="preserve">Las </w:t>
      </w:r>
      <w:r w:rsidRPr="00CD181C">
        <w:rPr>
          <w:rFonts w:ascii="Calibri" w:hAnsi="Calibri" w:cs="Calibri"/>
          <w:b/>
          <w:color w:val="000000"/>
          <w:u w:val="single"/>
        </w:rPr>
        <w:t>erogaciones en concepto de intereses por préstamos, regalías y asistencia técnica</w:t>
      </w:r>
      <w:r w:rsidRPr="00CD181C">
        <w:rPr>
          <w:rFonts w:ascii="Calibri" w:hAnsi="Calibri" w:cs="Calibri"/>
          <w:color w:val="000000"/>
        </w:rPr>
        <w:t>, cuando lo realicen:</w:t>
      </w:r>
    </w:p>
    <w:p w14:paraId="2C8C22E9" w14:textId="77777777" w:rsidR="00CE27BE" w:rsidRPr="00CD181C" w:rsidRDefault="00CE27BE" w:rsidP="00CE27BE">
      <w:pPr>
        <w:numPr>
          <w:ilvl w:val="0"/>
          <w:numId w:val="3"/>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t>El socio o accionista de la empresa, siempre que el mismo sea contribuyente de algún Impuesto a la Renta.</w:t>
      </w:r>
    </w:p>
    <w:p w14:paraId="17240A8E" w14:textId="77777777" w:rsidR="00CE27BE" w:rsidRPr="00CD181C" w:rsidRDefault="00CE27BE" w:rsidP="00CE27BE">
      <w:pPr>
        <w:numPr>
          <w:ilvl w:val="0"/>
          <w:numId w:val="3"/>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t>La casa matriz u otras sucursales o agencias del exterior.</w:t>
      </w:r>
    </w:p>
    <w:p w14:paraId="5CB5AF1E" w14:textId="77777777" w:rsidR="00CE27BE" w:rsidRPr="00CD181C" w:rsidRDefault="00CE27BE" w:rsidP="00CE27BE">
      <w:pPr>
        <w:numPr>
          <w:ilvl w:val="0"/>
          <w:numId w:val="3"/>
        </w:numPr>
        <w:pBdr>
          <w:top w:val="nil"/>
          <w:left w:val="nil"/>
          <w:bottom w:val="nil"/>
          <w:right w:val="nil"/>
          <w:between w:val="nil"/>
        </w:pBdr>
        <w:spacing w:line="259" w:lineRule="auto"/>
        <w:jc w:val="both"/>
        <w:rPr>
          <w:rFonts w:ascii="Calibri" w:hAnsi="Calibri" w:cs="Calibri"/>
        </w:rPr>
      </w:pPr>
      <w:r w:rsidRPr="00CD181C">
        <w:rPr>
          <w:rFonts w:ascii="Calibri" w:hAnsi="Calibri" w:cs="Calibri"/>
          <w:color w:val="000000"/>
        </w:rPr>
        <w:t>Las empresas vinculadas.</w:t>
      </w:r>
    </w:p>
    <w:p w14:paraId="410C0151" w14:textId="77777777" w:rsidR="00CE27BE" w:rsidRPr="00CD181C" w:rsidRDefault="00CE27BE" w:rsidP="00CE27BE">
      <w:pPr>
        <w:ind w:left="708"/>
        <w:jc w:val="both"/>
        <w:rPr>
          <w:rFonts w:ascii="Calibri" w:hAnsi="Calibri" w:cs="Calibri"/>
          <w:b/>
          <w:u w:val="single"/>
        </w:rPr>
      </w:pPr>
      <w:r w:rsidRPr="00CD181C">
        <w:rPr>
          <w:rFonts w:ascii="Calibri" w:hAnsi="Calibri" w:cs="Calibri"/>
        </w:rPr>
        <w:t xml:space="preserve">Siempre que estas erogaciones no sean superiores al precio de mercado o devenguen intereses a tasas que no superen el </w:t>
      </w:r>
      <w:r w:rsidRPr="00CD181C">
        <w:rPr>
          <w:rFonts w:ascii="Calibri" w:hAnsi="Calibri" w:cs="Calibri"/>
          <w:b/>
          <w:bCs/>
          <w:color w:val="FF0000"/>
          <w:u w:val="single"/>
        </w:rPr>
        <w:t>promedio de las tasas pasivas</w:t>
      </w:r>
      <w:r w:rsidRPr="00CD181C">
        <w:rPr>
          <w:rFonts w:ascii="Calibri" w:hAnsi="Calibri" w:cs="Calibri"/>
          <w:color w:val="FF0000"/>
        </w:rPr>
        <w:t xml:space="preserve"> </w:t>
      </w:r>
      <w:r w:rsidRPr="00CD181C">
        <w:rPr>
          <w:rFonts w:ascii="Calibri" w:hAnsi="Calibri" w:cs="Calibri"/>
        </w:rPr>
        <w:t xml:space="preserve">del mercado bancario y financiero  aplicables a operaciones de similares características, de acuerdo con la publicación del promedio de tasas emanadas del Banco Central del Paraguay; se haya ingresado el monto de los impuestos correspondientes; y dichas erogaciones no superen el 30% (treinta por ciento) de la renta neta del ejercicio, antes del cómputo de la deducción de tales erogaciones. </w:t>
      </w:r>
      <w:r w:rsidRPr="00CD181C">
        <w:rPr>
          <w:rFonts w:ascii="Calibri" w:hAnsi="Calibri" w:cs="Calibri"/>
          <w:b/>
          <w:u w:val="single"/>
        </w:rPr>
        <w:t>Estos intereses estarán sujetos al mismo régimen de retención con independencia a su deducibilidad.</w:t>
      </w:r>
    </w:p>
    <w:p w14:paraId="049B5E17" w14:textId="77777777" w:rsidR="00CE27BE" w:rsidRPr="00CD181C" w:rsidRDefault="00CE27BE" w:rsidP="00CE27BE">
      <w:pPr>
        <w:jc w:val="both"/>
        <w:rPr>
          <w:rFonts w:ascii="Calibri" w:hAnsi="Calibri" w:cs="Calibri"/>
          <w:b/>
          <w:color w:val="00B0F0"/>
          <w:u w:val="single"/>
        </w:rPr>
      </w:pPr>
      <w:r w:rsidRPr="00CD181C">
        <w:rPr>
          <w:rFonts w:ascii="Calibri" w:hAnsi="Calibri" w:cs="Calibri"/>
          <w:b/>
          <w:color w:val="FF0000"/>
          <w:highlight w:val="yellow"/>
        </w:rPr>
        <w:t>La deducibilidad de los gastos estará limitada, en su conjunto,</w:t>
      </w:r>
      <w:r w:rsidRPr="00CD181C">
        <w:rPr>
          <w:rFonts w:ascii="Calibri" w:hAnsi="Calibri" w:cs="Calibri"/>
        </w:rPr>
        <w:t xml:space="preserve"> </w:t>
      </w:r>
      <w:r w:rsidRPr="00CD181C">
        <w:rPr>
          <w:rFonts w:ascii="Calibri" w:hAnsi="Calibri" w:cs="Calibri"/>
          <w:b/>
          <w:highlight w:val="green"/>
          <w:u w:val="single"/>
        </w:rPr>
        <w:t>al 1% (uno por ciento) del ingreso bruto</w:t>
      </w:r>
      <w:r w:rsidRPr="00CD181C">
        <w:rPr>
          <w:rFonts w:ascii="Calibri" w:hAnsi="Calibri" w:cs="Calibri"/>
        </w:rPr>
        <w:t xml:space="preserve"> </w:t>
      </w:r>
      <w:r w:rsidRPr="00CD181C">
        <w:rPr>
          <w:rFonts w:ascii="Calibri" w:hAnsi="Calibri" w:cs="Calibri"/>
          <w:b/>
          <w:highlight w:val="green"/>
        </w:rPr>
        <w:t>cuando se verifiquen las situaciones previstas en los numerales</w:t>
      </w:r>
      <w:r w:rsidRPr="00CD181C">
        <w:rPr>
          <w:rFonts w:ascii="Calibri" w:hAnsi="Calibri" w:cs="Calibri"/>
        </w:rPr>
        <w:t xml:space="preserve"> </w:t>
      </w:r>
      <w:commentRangeStart w:id="8"/>
      <w:r w:rsidRPr="00CD181C">
        <w:rPr>
          <w:rFonts w:ascii="Calibri" w:hAnsi="Calibri" w:cs="Calibri"/>
        </w:rPr>
        <w:t xml:space="preserve">7, 8, 20, 21 y 22 </w:t>
      </w:r>
      <w:r w:rsidRPr="00CD181C">
        <w:rPr>
          <w:rFonts w:ascii="Calibri" w:hAnsi="Calibri" w:cs="Calibri"/>
          <w:b/>
          <w:color w:val="FF0000"/>
        </w:rPr>
        <w:t>o cuando se trate de compras a contribuyentes afectados al RESIMPLE</w:t>
      </w:r>
      <w:r w:rsidRPr="00CD181C">
        <w:rPr>
          <w:rFonts w:ascii="Calibri" w:hAnsi="Calibri" w:cs="Calibri"/>
        </w:rPr>
        <w:t xml:space="preserve">. </w:t>
      </w:r>
      <w:commentRangeEnd w:id="8"/>
      <w:r w:rsidRPr="00CD181C">
        <w:rPr>
          <w:rFonts w:ascii="Calibri" w:hAnsi="Calibri" w:cs="Calibri"/>
        </w:rPr>
        <w:commentReference w:id="8"/>
      </w:r>
      <w:r w:rsidRPr="00CD181C">
        <w:rPr>
          <w:rFonts w:ascii="Calibri" w:hAnsi="Calibri" w:cs="Calibri"/>
          <w:highlight w:val="green"/>
        </w:rPr>
        <w:t>En el caso del numeral 7</w:t>
      </w:r>
      <w:r w:rsidRPr="00CD181C">
        <w:rPr>
          <w:rFonts w:ascii="Calibri" w:hAnsi="Calibri" w:cs="Calibri"/>
        </w:rPr>
        <w:t xml:space="preserve"> procederá la limitación cuando el servicio sea prestado por personas físicas que </w:t>
      </w:r>
      <w:r w:rsidRPr="00CD181C">
        <w:rPr>
          <w:rFonts w:ascii="Calibri" w:hAnsi="Calibri" w:cs="Calibri"/>
          <w:b/>
          <w:color w:val="0070C0"/>
          <w:u w:val="single"/>
        </w:rPr>
        <w:t>no sean contribuyentes del</w:t>
      </w:r>
      <w:r w:rsidRPr="00CD181C">
        <w:rPr>
          <w:rFonts w:ascii="Calibri" w:hAnsi="Calibri" w:cs="Calibri"/>
          <w:color w:val="0070C0"/>
        </w:rPr>
        <w:t xml:space="preserve"> </w:t>
      </w:r>
      <w:r w:rsidRPr="00CD181C">
        <w:rPr>
          <w:rFonts w:ascii="Calibri" w:hAnsi="Calibri" w:cs="Calibri"/>
          <w:b/>
          <w:color w:val="0070C0"/>
          <w:u w:val="single"/>
        </w:rPr>
        <w:t xml:space="preserve">IRP </w:t>
      </w:r>
      <w:r w:rsidRPr="00CD181C">
        <w:rPr>
          <w:rFonts w:ascii="Calibri" w:hAnsi="Calibri" w:cs="Calibri"/>
          <w:b/>
          <w:color w:val="FF0000"/>
          <w:u w:val="single"/>
        </w:rPr>
        <w:t>o</w:t>
      </w:r>
      <w:r w:rsidRPr="00CD181C">
        <w:rPr>
          <w:rFonts w:ascii="Calibri" w:hAnsi="Calibri" w:cs="Calibri"/>
          <w:b/>
          <w:color w:val="00B0F0"/>
          <w:u w:val="single"/>
        </w:rPr>
        <w:t xml:space="preserve"> </w:t>
      </w:r>
      <w:r w:rsidRPr="00CD181C">
        <w:rPr>
          <w:rFonts w:ascii="Calibri" w:hAnsi="Calibri" w:cs="Calibri"/>
          <w:b/>
          <w:color w:val="FF0000"/>
          <w:highlight w:val="yellow"/>
          <w:u w:val="single"/>
        </w:rPr>
        <w:t>cuando el dueño, socio o accionista perciba una remuneración en su calidad de personal superior de la empresa o entidad.</w:t>
      </w:r>
    </w:p>
    <w:p w14:paraId="57754DC7" w14:textId="77777777" w:rsidR="00CE27BE" w:rsidRPr="00CD181C" w:rsidRDefault="00CE27BE" w:rsidP="00CE27BE">
      <w:pPr>
        <w:jc w:val="both"/>
        <w:rPr>
          <w:rFonts w:ascii="Calibri" w:hAnsi="Calibri" w:cs="Calibri"/>
        </w:rPr>
      </w:pPr>
      <w:r w:rsidRPr="00CD181C">
        <w:rPr>
          <w:rFonts w:ascii="Calibri" w:hAnsi="Calibri" w:cs="Calibri"/>
        </w:rPr>
        <w:t>La Administración Tributaria reglamentará las condiciones particulares de deducibilidad de lo dispuesto en el presente artículo.</w:t>
      </w:r>
    </w:p>
    <w:p w14:paraId="4A35B8B0" w14:textId="77777777" w:rsidR="00CE27BE" w:rsidRPr="00CD181C" w:rsidRDefault="00CE27BE" w:rsidP="00CE27BE">
      <w:pPr>
        <w:jc w:val="both"/>
        <w:rPr>
          <w:rFonts w:ascii="Calibri" w:hAnsi="Calibri" w:cs="Calibri"/>
        </w:rPr>
      </w:pPr>
    </w:p>
    <w:p w14:paraId="09FB1946" w14:textId="0909936B" w:rsidR="00CE27BE" w:rsidRPr="00CD181C" w:rsidRDefault="00CE27BE" w:rsidP="00A86E2A">
      <w:pPr>
        <w:pStyle w:val="Ttulo3"/>
      </w:pPr>
      <w:bookmarkStart w:id="9" w:name="_Toc184048033"/>
      <w:r w:rsidRPr="00CD181C">
        <w:t>Ley 6380/19 -  Artículo 16.- Costos y Gastos No Deducibles.</w:t>
      </w:r>
      <w:bookmarkEnd w:id="9"/>
    </w:p>
    <w:p w14:paraId="01054409" w14:textId="77777777" w:rsidR="00CE27BE" w:rsidRPr="00CD181C" w:rsidRDefault="00CE27BE" w:rsidP="00CE27BE">
      <w:pPr>
        <w:jc w:val="both"/>
        <w:rPr>
          <w:rFonts w:ascii="Calibri" w:hAnsi="Calibri" w:cs="Calibri"/>
        </w:rPr>
      </w:pPr>
      <w:r w:rsidRPr="00CD181C">
        <w:rPr>
          <w:rFonts w:ascii="Calibri" w:hAnsi="Calibri" w:cs="Calibri"/>
        </w:rPr>
        <w:t>No se podrán deducir:</w:t>
      </w:r>
    </w:p>
    <w:p w14:paraId="420FCA30" w14:textId="77777777" w:rsidR="00CE27BE" w:rsidRPr="00CD181C" w:rsidRDefault="00CE27BE" w:rsidP="00CE27BE">
      <w:pPr>
        <w:numPr>
          <w:ilvl w:val="0"/>
          <w:numId w:val="4"/>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t>El presente impuesto.</w:t>
      </w:r>
    </w:p>
    <w:p w14:paraId="72CC60C3" w14:textId="77777777" w:rsidR="00CE27BE" w:rsidRPr="00CD181C" w:rsidRDefault="00CE27BE" w:rsidP="00CE27BE">
      <w:pPr>
        <w:numPr>
          <w:ilvl w:val="0"/>
          <w:numId w:val="4"/>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t>Las sanciones por infracciones aplicadas por cualquier organismo público competente.</w:t>
      </w:r>
    </w:p>
    <w:p w14:paraId="25A90F87" w14:textId="77777777" w:rsidR="00CE27BE" w:rsidRPr="00CD181C" w:rsidRDefault="00CE27BE" w:rsidP="00CE27BE">
      <w:pPr>
        <w:numPr>
          <w:ilvl w:val="0"/>
          <w:numId w:val="4"/>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t>Las utilidades del ejercicio que se destinen a aumento de capital o reserva.</w:t>
      </w:r>
    </w:p>
    <w:p w14:paraId="61C57D17" w14:textId="77777777" w:rsidR="00CE27BE" w:rsidRPr="00CD181C" w:rsidRDefault="00CE27BE" w:rsidP="00CE27BE">
      <w:pPr>
        <w:numPr>
          <w:ilvl w:val="0"/>
          <w:numId w:val="4"/>
        </w:numPr>
        <w:pBdr>
          <w:top w:val="nil"/>
          <w:left w:val="nil"/>
          <w:bottom w:val="nil"/>
          <w:right w:val="nil"/>
          <w:between w:val="nil"/>
        </w:pBdr>
        <w:spacing w:after="0" w:line="259" w:lineRule="auto"/>
        <w:jc w:val="both"/>
        <w:rPr>
          <w:rFonts w:ascii="Calibri" w:hAnsi="Calibri" w:cs="Calibri"/>
          <w:b/>
          <w:color w:val="000000"/>
          <w:highlight w:val="cyan"/>
        </w:rPr>
      </w:pPr>
      <w:r w:rsidRPr="00CD181C">
        <w:rPr>
          <w:rFonts w:ascii="Calibri" w:hAnsi="Calibri" w:cs="Calibri"/>
          <w:b/>
          <w:color w:val="000000"/>
          <w:highlight w:val="yellow"/>
        </w:rPr>
        <w:t>La amortización del valor llave autogenerado</w:t>
      </w:r>
      <w:r w:rsidRPr="00CD181C">
        <w:rPr>
          <w:rFonts w:ascii="Calibri" w:hAnsi="Calibri" w:cs="Calibri"/>
          <w:color w:val="000000"/>
        </w:rPr>
        <w:t>, es decir, cuando dicho valor es asignado unilateralmente por el propio contribuyente</w:t>
      </w:r>
      <w:r w:rsidRPr="00CD181C">
        <w:rPr>
          <w:rFonts w:ascii="Calibri" w:hAnsi="Calibri" w:cs="Calibri"/>
          <w:b/>
          <w:color w:val="000000"/>
          <w:highlight w:val="cyan"/>
        </w:rPr>
        <w:t>, sin ninguna contraprestación.</w:t>
      </w:r>
    </w:p>
    <w:p w14:paraId="705CCD65" w14:textId="77777777" w:rsidR="00CE27BE" w:rsidRPr="00CD181C" w:rsidRDefault="00CE27BE" w:rsidP="00CE27BE">
      <w:pPr>
        <w:numPr>
          <w:ilvl w:val="0"/>
          <w:numId w:val="4"/>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t>Los gastos personales del dueño, socio o accionista o de sus familiares, así como sumas retiradas a cuenta de utilidades.</w:t>
      </w:r>
    </w:p>
    <w:p w14:paraId="33408711" w14:textId="77777777" w:rsidR="00CE27BE" w:rsidRPr="00CD181C" w:rsidRDefault="00CE27BE" w:rsidP="00CE27BE">
      <w:pPr>
        <w:numPr>
          <w:ilvl w:val="0"/>
          <w:numId w:val="4"/>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highlight w:val="yellow"/>
        </w:rPr>
        <w:t>El IVA incluido en las adquisiciones de bienes, servicios o importaciones relacionadas directa o indistintamente a operaciones gravadas por el referido impuesto</w:t>
      </w:r>
      <w:r w:rsidRPr="00CD181C">
        <w:rPr>
          <w:rFonts w:ascii="Calibri" w:hAnsi="Calibri" w:cs="Calibri"/>
          <w:color w:val="000000"/>
        </w:rPr>
        <w:t>, así como el IVA Crédito sujeto a devolución en los términos del artículo 101 de la presente ley.</w:t>
      </w:r>
    </w:p>
    <w:p w14:paraId="4D8A55E4" w14:textId="77777777" w:rsidR="00CE27BE" w:rsidRPr="00CD181C" w:rsidRDefault="00CE27BE" w:rsidP="00CE27BE">
      <w:pPr>
        <w:numPr>
          <w:ilvl w:val="0"/>
          <w:numId w:val="4"/>
        </w:numPr>
        <w:pBdr>
          <w:top w:val="nil"/>
          <w:left w:val="nil"/>
          <w:bottom w:val="nil"/>
          <w:right w:val="nil"/>
          <w:between w:val="nil"/>
        </w:pBdr>
        <w:spacing w:after="0" w:line="259" w:lineRule="auto"/>
        <w:jc w:val="both"/>
        <w:rPr>
          <w:rFonts w:ascii="Calibri" w:hAnsi="Calibri" w:cs="Calibri"/>
        </w:rPr>
      </w:pPr>
      <w:r w:rsidRPr="00CD181C">
        <w:rPr>
          <w:rFonts w:ascii="Calibri" w:hAnsi="Calibri" w:cs="Calibri"/>
          <w:color w:val="000000"/>
        </w:rPr>
        <w:t>Los costos y gastos relacionados a la obtención de rentas no gravadas, exentas o exoneradas, incluidos los relacionados a la obtención de rentas de fuente extranjera.</w:t>
      </w:r>
    </w:p>
    <w:p w14:paraId="4F0DE6F1" w14:textId="77777777" w:rsidR="00CE27BE" w:rsidRPr="00CD181C" w:rsidRDefault="00CE27BE" w:rsidP="00CE27BE">
      <w:pPr>
        <w:numPr>
          <w:ilvl w:val="0"/>
          <w:numId w:val="4"/>
        </w:numPr>
        <w:pBdr>
          <w:top w:val="nil"/>
          <w:left w:val="nil"/>
          <w:bottom w:val="nil"/>
          <w:right w:val="nil"/>
          <w:between w:val="nil"/>
        </w:pBdr>
        <w:spacing w:line="259" w:lineRule="auto"/>
        <w:jc w:val="both"/>
        <w:rPr>
          <w:rFonts w:ascii="Calibri" w:hAnsi="Calibri" w:cs="Calibri"/>
        </w:rPr>
      </w:pPr>
      <w:r w:rsidRPr="00CD181C">
        <w:rPr>
          <w:rFonts w:ascii="Calibri" w:hAnsi="Calibri" w:cs="Calibri"/>
          <w:color w:val="000000"/>
        </w:rPr>
        <w:t>Los costos y gastos que no cumplan lo dispuesto en el artículo 14 de la presente ley.</w:t>
      </w:r>
    </w:p>
    <w:p w14:paraId="01513CF8" w14:textId="77777777" w:rsidR="00CE27BE" w:rsidRDefault="00CE27BE">
      <w:pPr>
        <w:rPr>
          <w:rFonts w:ascii="Calibri" w:hAnsi="Calibri" w:cs="Calibri"/>
        </w:rPr>
      </w:pPr>
    </w:p>
    <w:p w14:paraId="613CB679" w14:textId="65205A0A" w:rsidR="00CD181C" w:rsidRPr="00CD181C" w:rsidRDefault="00CD181C" w:rsidP="00CD181C">
      <w:pPr>
        <w:pStyle w:val="Ttulo2"/>
      </w:pPr>
      <w:bookmarkStart w:id="10" w:name="_Toc184048034"/>
      <w:r w:rsidRPr="00CD181C">
        <w:lastRenderedPageBreak/>
        <w:t>DECRETO 3182/19</w:t>
      </w:r>
      <w:bookmarkEnd w:id="10"/>
    </w:p>
    <w:p w14:paraId="292C8FB0" w14:textId="77777777" w:rsidR="00CD181C" w:rsidRPr="00CD181C" w:rsidRDefault="00CD181C" w:rsidP="00CD181C">
      <w:pPr>
        <w:rPr>
          <w:rFonts w:ascii="Calibri" w:hAnsi="Calibri" w:cs="Calibri"/>
        </w:rPr>
      </w:pPr>
      <w:r w:rsidRPr="00CD181C">
        <w:rPr>
          <w:rFonts w:ascii="Calibri" w:hAnsi="Calibri" w:cs="Calibri"/>
          <w:b/>
          <w:bCs/>
        </w:rPr>
        <w:t>Sección V</w:t>
      </w:r>
      <w:r w:rsidRPr="00CD181C">
        <w:rPr>
          <w:rFonts w:ascii="Calibri" w:hAnsi="Calibri" w:cs="Calibri"/>
          <w:b/>
          <w:bCs/>
        </w:rPr>
        <w:br/>
        <w:t>Renta Neta</w:t>
      </w:r>
    </w:p>
    <w:p w14:paraId="058BC526" w14:textId="77777777" w:rsidR="00A86E2A" w:rsidRDefault="00CD181C" w:rsidP="00A679CC">
      <w:pPr>
        <w:pStyle w:val="Ttulo3"/>
      </w:pPr>
      <w:bookmarkStart w:id="11" w:name="53"/>
      <w:bookmarkStart w:id="12" w:name="_Toc184048035"/>
      <w:bookmarkEnd w:id="11"/>
      <w:r w:rsidRPr="00CD181C">
        <w:t>Articulo 53.- Gastos Generales del Negocio Agrícola, Ganadero y Forestal.</w:t>
      </w:r>
      <w:bookmarkEnd w:id="12"/>
    </w:p>
    <w:p w14:paraId="1F9BF891" w14:textId="77777777" w:rsidR="008D1C8E" w:rsidRDefault="00CD181C" w:rsidP="00CD181C">
      <w:pPr>
        <w:jc w:val="both"/>
        <w:rPr>
          <w:rFonts w:ascii="Calibri" w:hAnsi="Calibri" w:cs="Calibri"/>
        </w:rPr>
      </w:pPr>
      <w:r w:rsidRPr="00CD181C">
        <w:rPr>
          <w:rFonts w:ascii="Calibri" w:hAnsi="Calibri" w:cs="Calibri"/>
        </w:rPr>
        <w:t>En el sector agrícola, ganadero y forestal, además de los gastos señalados en el numeral 3) del artículo 15 de la Ley, se considerarán gastos generales del negocio: la reparación de maquinarias y equipos siempre que no represente una reparación extraordinaria; trabajos de conservación y mantenimiento de caminos; distribución de agua; recolección de basura; servicios de prevención y extinción de incendios; mantenimiento de bosques implantados, de cultivos permanentes o semipermanentes, incluyendo las pasturas implantadas y las naturales cuando se encuentren mejoradas y manejadas.</w:t>
      </w:r>
    </w:p>
    <w:p w14:paraId="2D911F84" w14:textId="3D9B900B" w:rsidR="00CD181C" w:rsidRPr="00CD181C" w:rsidRDefault="00CD181C" w:rsidP="00CD181C">
      <w:pPr>
        <w:jc w:val="both"/>
        <w:rPr>
          <w:rFonts w:ascii="Calibri" w:hAnsi="Calibri" w:cs="Calibri"/>
        </w:rPr>
      </w:pPr>
      <w:r w:rsidRPr="00CD181C">
        <w:rPr>
          <w:rFonts w:ascii="Calibri" w:hAnsi="Calibri" w:cs="Calibri"/>
        </w:rPr>
        <w:t>Serán deducibles estos gastos, siempre que no se hayan integrado al costo de producción.</w:t>
      </w:r>
    </w:p>
    <w:p w14:paraId="0AC968F1" w14:textId="77777777" w:rsidR="00A679CC" w:rsidRDefault="00CD181C" w:rsidP="00CD181C">
      <w:pPr>
        <w:jc w:val="both"/>
        <w:rPr>
          <w:rFonts w:ascii="Calibri" w:hAnsi="Calibri" w:cs="Calibri"/>
        </w:rPr>
      </w:pPr>
      <w:r w:rsidRPr="00CD181C">
        <w:rPr>
          <w:rFonts w:ascii="Calibri" w:hAnsi="Calibri" w:cs="Calibri"/>
        </w:rPr>
        <w:t>Reglamenta a:</w:t>
      </w:r>
    </w:p>
    <w:p w14:paraId="3372D6DB" w14:textId="6BCB99A0" w:rsidR="00CD181C" w:rsidRDefault="00CD181C" w:rsidP="00CD181C">
      <w:pPr>
        <w:jc w:val="both"/>
        <w:rPr>
          <w:rFonts w:ascii="Calibri" w:hAnsi="Calibri" w:cs="Calibri"/>
        </w:rPr>
      </w:pP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3.</w:t>
      </w:r>
    </w:p>
    <w:p w14:paraId="4A59ACA5" w14:textId="77777777" w:rsidR="00BA7C4E" w:rsidRPr="00CD181C" w:rsidRDefault="00BA7C4E" w:rsidP="00CD181C">
      <w:pPr>
        <w:jc w:val="both"/>
        <w:rPr>
          <w:rFonts w:ascii="Calibri" w:hAnsi="Calibri" w:cs="Calibri"/>
        </w:rPr>
      </w:pPr>
    </w:p>
    <w:bookmarkStart w:id="13" w:name="54"/>
    <w:bookmarkStart w:id="14" w:name="_Toc184048036"/>
    <w:bookmarkEnd w:id="13"/>
    <w:p w14:paraId="08ED5335" w14:textId="4B03B2E6" w:rsidR="00A679CC" w:rsidRDefault="00CD181C" w:rsidP="00A679CC">
      <w:pPr>
        <w:pStyle w:val="Ttulo3"/>
      </w:pPr>
      <w:r w:rsidRPr="00CD181C">
        <w:t xml:space="preserve">Artículo 54.- Beneficios a Trabajadores Dependientes </w:t>
      </w:r>
      <w:proofErr w:type="gramStart"/>
      <w:r w:rsidRPr="00CD181C">
        <w:t>en virtud a</w:t>
      </w:r>
      <w:proofErr w:type="gramEnd"/>
      <w:r w:rsidRPr="00CD181C">
        <w:t xml:space="preserve"> la Ley </w:t>
      </w:r>
      <w:proofErr w:type="spellStart"/>
      <w:r w:rsidRPr="00CD181C">
        <w:t>N°</w:t>
      </w:r>
      <w:proofErr w:type="spellEnd"/>
      <w:r w:rsidRPr="00CD181C">
        <w:t xml:space="preserve"> 285/1993.</w:t>
      </w:r>
      <w:bookmarkEnd w:id="14"/>
    </w:p>
    <w:p w14:paraId="7E554CE9" w14:textId="77777777" w:rsidR="00A679CC" w:rsidRDefault="00CD181C" w:rsidP="00CD181C">
      <w:pPr>
        <w:jc w:val="both"/>
        <w:rPr>
          <w:rFonts w:ascii="Calibri" w:hAnsi="Calibri" w:cs="Calibri"/>
        </w:rPr>
      </w:pPr>
      <w:r w:rsidRPr="00CD181C">
        <w:rPr>
          <w:rFonts w:ascii="Calibri" w:hAnsi="Calibri" w:cs="Calibri"/>
        </w:rPr>
        <w:t xml:space="preserve">A efectos de la deducibilidad de los gastos de una empresa realizados en virtud a la Ley </w:t>
      </w:r>
      <w:proofErr w:type="spellStart"/>
      <w:r w:rsidRPr="00CD181C">
        <w:rPr>
          <w:rFonts w:ascii="Calibri" w:hAnsi="Calibri" w:cs="Calibri"/>
        </w:rPr>
        <w:t>N°</w:t>
      </w:r>
      <w:proofErr w:type="spellEnd"/>
      <w:r w:rsidRPr="00CD181C">
        <w:rPr>
          <w:rFonts w:ascii="Calibri" w:hAnsi="Calibri" w:cs="Calibri"/>
        </w:rPr>
        <w:t xml:space="preserve"> 285/1993, deberá otorgarse el derecho de acceso a este beneficio de manera equitativa a todos a los trabajadores en relación de dependencia, según los criterios que determine el empleador y de conformidad a lo establecido en el artículo 4° de la referida Ley, ya sea que ejecuten una obra o presten servicios materiales, intelectuales o mixtos, en virtud de un contrato de trabajo, con independencia al monto del salario y otros beneficios establecidos en las leyes o en el contrato que lo </w:t>
      </w:r>
      <w:proofErr w:type="spellStart"/>
      <w:r w:rsidRPr="00CD181C">
        <w:rPr>
          <w:rFonts w:ascii="Calibri" w:hAnsi="Calibri" w:cs="Calibri"/>
        </w:rPr>
        <w:t>rige.Las</w:t>
      </w:r>
      <w:proofErr w:type="spellEnd"/>
      <w:r w:rsidRPr="00CD181C">
        <w:rPr>
          <w:rFonts w:ascii="Calibri" w:hAnsi="Calibri" w:cs="Calibri"/>
        </w:rPr>
        <w:t xml:space="preserve"> empresas que otorgarán a sus trabajadores beneficios adicionales en los términos establecidos en la Ley </w:t>
      </w:r>
      <w:proofErr w:type="spellStart"/>
      <w:r w:rsidRPr="00CD181C">
        <w:rPr>
          <w:rFonts w:ascii="Calibri" w:hAnsi="Calibri" w:cs="Calibri"/>
        </w:rPr>
        <w:t>N°</w:t>
      </w:r>
      <w:proofErr w:type="spellEnd"/>
      <w:r w:rsidRPr="00CD181C">
        <w:rPr>
          <w:rFonts w:ascii="Calibri" w:hAnsi="Calibri" w:cs="Calibri"/>
        </w:rPr>
        <w:t xml:space="preserve"> 285/1993, deberán inscribirse en el “Registro de Empresas -Ley </w:t>
      </w:r>
      <w:proofErr w:type="spellStart"/>
      <w:r w:rsidRPr="00CD181C">
        <w:rPr>
          <w:rFonts w:ascii="Calibri" w:hAnsi="Calibri" w:cs="Calibri"/>
        </w:rPr>
        <w:t>N°</w:t>
      </w:r>
      <w:proofErr w:type="spellEnd"/>
      <w:r w:rsidRPr="00CD181C">
        <w:rPr>
          <w:rFonts w:ascii="Calibri" w:hAnsi="Calibri" w:cs="Calibri"/>
        </w:rPr>
        <w:t xml:space="preserve"> 285/1993” que la Administración habilitará para el efecto, para lo cual deberán estar al día en el cumplimiento de sus obligaciones tributarias.</w:t>
      </w:r>
      <w:r w:rsidRPr="00CD181C">
        <w:rPr>
          <w:rFonts w:ascii="Calibri" w:hAnsi="Calibri" w:cs="Calibri"/>
        </w:rPr>
        <w:br/>
        <w:t>Las empresas inscriptas en el referido registro deberán presentar a la Administración la siguiente documentación:</w:t>
      </w:r>
    </w:p>
    <w:p w14:paraId="5E3E68B8" w14:textId="77777777" w:rsidR="00BA7C4E" w:rsidRDefault="00CD181C" w:rsidP="00CD181C">
      <w:pPr>
        <w:jc w:val="both"/>
        <w:rPr>
          <w:rFonts w:ascii="Calibri" w:hAnsi="Calibri" w:cs="Calibri"/>
        </w:rPr>
      </w:pPr>
      <w:r w:rsidRPr="00CD181C">
        <w:rPr>
          <w:rFonts w:ascii="Calibri" w:hAnsi="Calibri" w:cs="Calibri"/>
          <w:b/>
          <w:bCs/>
        </w:rPr>
        <w:t>1)</w:t>
      </w:r>
      <w:r w:rsidRPr="00CD181C">
        <w:rPr>
          <w:rFonts w:ascii="Calibri" w:hAnsi="Calibri" w:cs="Calibri"/>
        </w:rPr>
        <w:t> Listado de los trabajadores que recibieron el beneficio, señalando el monto recibido por cada uno de ellos, el ejercicio fiscal en el cual se devengó y los criterios de asignación de los mismos.</w:t>
      </w:r>
      <w:r w:rsidRPr="00CD181C">
        <w:rPr>
          <w:rFonts w:ascii="Calibri" w:hAnsi="Calibri" w:cs="Calibri"/>
        </w:rPr>
        <w:br/>
      </w:r>
      <w:r w:rsidRPr="00CD181C">
        <w:rPr>
          <w:rFonts w:ascii="Calibri" w:hAnsi="Calibri" w:cs="Calibri"/>
          <w:b/>
          <w:bCs/>
        </w:rPr>
        <w:t>2)</w:t>
      </w:r>
      <w:r w:rsidRPr="00CD181C">
        <w:rPr>
          <w:rFonts w:ascii="Calibri" w:hAnsi="Calibri" w:cs="Calibri"/>
        </w:rPr>
        <w:t> La planilla del Instituto de Previsión Social o documento similar de otra Caja de Seguridad Social creada o admitida por Ley o Decreto - Ley del mes en el cual se puso a disposición los fondos.</w:t>
      </w:r>
      <w:r w:rsidRPr="00CD181C">
        <w:rPr>
          <w:rFonts w:ascii="Calibri" w:hAnsi="Calibri" w:cs="Calibri"/>
        </w:rPr>
        <w:br/>
        <w:t>El contribuyente deberá contar con el certificado de cumplimiento tributario emitido en la fecha de la puesta a disposición, el cual formará parte del archivo tributario de la empresa.</w:t>
      </w:r>
      <w:r w:rsidRPr="00CD181C">
        <w:rPr>
          <w:rFonts w:ascii="Calibri" w:hAnsi="Calibri" w:cs="Calibri"/>
        </w:rPr>
        <w:br/>
        <w:t xml:space="preserve">Las empresas inscriptas en el referido registro, podrán considerar como gastos deducibles los </w:t>
      </w:r>
      <w:r w:rsidRPr="00CD181C">
        <w:rPr>
          <w:rFonts w:ascii="Calibri" w:hAnsi="Calibri" w:cs="Calibri"/>
        </w:rPr>
        <w:lastRenderedPageBreak/>
        <w:t>beneficios otorgados a los trabajadores en relación de dependencia, en el ejercicio fiscal en que sean devengados.</w:t>
      </w:r>
    </w:p>
    <w:p w14:paraId="5E033B72" w14:textId="77777777" w:rsidR="00BA7C4E" w:rsidRDefault="00CD181C" w:rsidP="00CD181C">
      <w:pPr>
        <w:jc w:val="both"/>
        <w:rPr>
          <w:rFonts w:ascii="Calibri" w:hAnsi="Calibri" w:cs="Calibri"/>
        </w:rPr>
      </w:pPr>
      <w:r w:rsidRPr="00CD181C">
        <w:rPr>
          <w:rFonts w:ascii="Calibri" w:hAnsi="Calibri" w:cs="Calibri"/>
        </w:rPr>
        <w:t xml:space="preserve">Se entenderá que el plazo previsto en el artículo 4° de la Ley </w:t>
      </w:r>
      <w:proofErr w:type="spellStart"/>
      <w:r w:rsidRPr="00CD181C">
        <w:rPr>
          <w:rFonts w:ascii="Calibri" w:hAnsi="Calibri" w:cs="Calibri"/>
        </w:rPr>
        <w:t>N°</w:t>
      </w:r>
      <w:proofErr w:type="spellEnd"/>
      <w:r w:rsidRPr="00CD181C">
        <w:rPr>
          <w:rFonts w:ascii="Calibri" w:hAnsi="Calibri" w:cs="Calibri"/>
        </w:rPr>
        <w:t xml:space="preserve"> 285/1993 será considerado como el máximo para el pago del beneficio, por lo que el empleador podrá realizar el pago anticipado, antes del cierre del ejercicio fiscal en que se devengó.</w:t>
      </w:r>
    </w:p>
    <w:p w14:paraId="57A96979" w14:textId="3D0C612D" w:rsidR="00CD181C" w:rsidRPr="00CD181C" w:rsidRDefault="00CD181C" w:rsidP="00CD181C">
      <w:pPr>
        <w:jc w:val="both"/>
        <w:rPr>
          <w:rFonts w:ascii="Calibri" w:hAnsi="Calibri" w:cs="Calibri"/>
        </w:rPr>
      </w:pPr>
      <w:r w:rsidRPr="00CD181C">
        <w:rPr>
          <w:rFonts w:ascii="Calibri" w:hAnsi="Calibri" w:cs="Calibri"/>
        </w:rPr>
        <w:t>La empresa que registre pérdidas en el ejercicio fiscal, no podrá deducir, en dicho ejercicio, en concepto de gasto los beneficios otorgados a los trabajadores en relación de dependencia, conforme al artículo 93 de la Constitución y la Ley que lo reglamenta.</w:t>
      </w:r>
      <w:r w:rsidRPr="00CD181C">
        <w:rPr>
          <w:rFonts w:ascii="Calibri" w:hAnsi="Calibri" w:cs="Calibri"/>
        </w:rPr>
        <w:br/>
        <w:t>Facúltese a la Administración Tributaria a establecer los procedimientos y otros requisitos para la implementación del referido registro.</w:t>
      </w:r>
    </w:p>
    <w:p w14:paraId="747A3827" w14:textId="77777777" w:rsidR="00BA7C4E" w:rsidRDefault="00CD181C" w:rsidP="00CD181C">
      <w:pPr>
        <w:jc w:val="both"/>
        <w:rPr>
          <w:rFonts w:ascii="Calibri" w:hAnsi="Calibri" w:cs="Calibri"/>
        </w:rPr>
      </w:pPr>
      <w:r w:rsidRPr="00CD181C">
        <w:rPr>
          <w:rFonts w:ascii="Calibri" w:hAnsi="Calibri" w:cs="Calibri"/>
        </w:rPr>
        <w:t>Reglamenta a:</w:t>
      </w:r>
    </w:p>
    <w:p w14:paraId="027D0365" w14:textId="77777777" w:rsidR="00BA7C4E" w:rsidRDefault="00CD181C" w:rsidP="00CD181C">
      <w:pPr>
        <w:jc w:val="both"/>
        <w:rPr>
          <w:rFonts w:ascii="Calibri" w:hAnsi="Calibri" w:cs="Calibri"/>
        </w:rPr>
      </w:pP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6.</w:t>
      </w:r>
    </w:p>
    <w:p w14:paraId="19401F9A" w14:textId="10F7EFB8" w:rsidR="00CD181C" w:rsidRDefault="00CD181C" w:rsidP="00CD181C">
      <w:pPr>
        <w:jc w:val="both"/>
        <w:rPr>
          <w:rFonts w:ascii="Calibri" w:hAnsi="Calibri" w:cs="Calibri"/>
        </w:rPr>
      </w:pPr>
      <w:r w:rsidRPr="00CD181C">
        <w:rPr>
          <w:rFonts w:ascii="Calibri" w:hAnsi="Calibri" w:cs="Calibri"/>
        </w:rPr>
        <w:t xml:space="preserve">Ley </w:t>
      </w:r>
      <w:proofErr w:type="spellStart"/>
      <w:r w:rsidRPr="00CD181C">
        <w:rPr>
          <w:rFonts w:ascii="Calibri" w:hAnsi="Calibri" w:cs="Calibri"/>
        </w:rPr>
        <w:t>N°</w:t>
      </w:r>
      <w:proofErr w:type="spellEnd"/>
      <w:r w:rsidRPr="00CD181C">
        <w:rPr>
          <w:rFonts w:ascii="Calibri" w:hAnsi="Calibri" w:cs="Calibri"/>
        </w:rPr>
        <w:t xml:space="preserve"> 285/1993</w:t>
      </w:r>
    </w:p>
    <w:p w14:paraId="4C0301F7" w14:textId="77777777" w:rsidR="00BA7C4E" w:rsidRPr="00CD181C" w:rsidRDefault="00BA7C4E" w:rsidP="00CD181C">
      <w:pPr>
        <w:jc w:val="both"/>
        <w:rPr>
          <w:rFonts w:ascii="Calibri" w:hAnsi="Calibri" w:cs="Calibri"/>
        </w:rPr>
      </w:pPr>
    </w:p>
    <w:p w14:paraId="2205A9EC" w14:textId="34F46610" w:rsidR="00BA7C4E" w:rsidRDefault="00CD181C" w:rsidP="00BA7C4E">
      <w:pPr>
        <w:pStyle w:val="Ttulo3"/>
      </w:pPr>
      <w:bookmarkStart w:id="15" w:name="55"/>
      <w:bookmarkStart w:id="16" w:name="_Toc184048037"/>
      <w:bookmarkEnd w:id="15"/>
      <w:r w:rsidRPr="00CD181C">
        <w:t>Artículo 55.- Gastos de Constitución y Organización.</w:t>
      </w:r>
      <w:bookmarkEnd w:id="16"/>
    </w:p>
    <w:p w14:paraId="0A546BA0" w14:textId="77777777" w:rsidR="00BA7C4E" w:rsidRDefault="00CD181C" w:rsidP="00CD181C">
      <w:pPr>
        <w:jc w:val="both"/>
        <w:rPr>
          <w:rFonts w:ascii="Calibri" w:hAnsi="Calibri" w:cs="Calibri"/>
        </w:rPr>
      </w:pPr>
      <w:r w:rsidRPr="00CD181C">
        <w:rPr>
          <w:rFonts w:ascii="Calibri" w:hAnsi="Calibri" w:cs="Calibri"/>
        </w:rPr>
        <w:t>Los gastos de constitución y organización, incluidos los denominados gastos preoperativos y los de reorganización por adquisición, fusión, escisión, cambios de modelo de negocios, cambios de marca y logos, se podrán amortizar a partir del mes siguiente o del ejercicio siguiente a su realización.</w:t>
      </w:r>
    </w:p>
    <w:p w14:paraId="4C0905DA" w14:textId="63B1924B" w:rsidR="00CD181C" w:rsidRPr="00CD181C" w:rsidRDefault="00CD181C" w:rsidP="00CD181C">
      <w:pPr>
        <w:jc w:val="both"/>
        <w:rPr>
          <w:rFonts w:ascii="Calibri" w:hAnsi="Calibri" w:cs="Calibri"/>
        </w:rPr>
      </w:pPr>
      <w:r w:rsidRPr="00CD181C">
        <w:rPr>
          <w:rFonts w:ascii="Calibri" w:hAnsi="Calibri" w:cs="Calibri"/>
        </w:rPr>
        <w:t>La documentación que respalda los gastos de constitución y organización de entidades en formación, deberá emitirse haciendo referencia a la denominación societaria seguida de la leyenda “en formación”.</w:t>
      </w:r>
    </w:p>
    <w:p w14:paraId="56D7137A" w14:textId="77777777" w:rsidR="00BA7C4E" w:rsidRDefault="00CD181C" w:rsidP="00CD181C">
      <w:pPr>
        <w:jc w:val="both"/>
        <w:rPr>
          <w:rFonts w:ascii="Calibri" w:hAnsi="Calibri" w:cs="Calibri"/>
        </w:rPr>
      </w:pPr>
      <w:r w:rsidRPr="00CD181C">
        <w:rPr>
          <w:rFonts w:ascii="Calibri" w:hAnsi="Calibri" w:cs="Calibri"/>
        </w:rPr>
        <w:t>Reglamenta a:</w:t>
      </w:r>
    </w:p>
    <w:p w14:paraId="11324ACC" w14:textId="14131A05" w:rsidR="00CD181C" w:rsidRDefault="00CD181C" w:rsidP="00CD181C">
      <w:pPr>
        <w:jc w:val="both"/>
        <w:rPr>
          <w:rFonts w:ascii="Calibri" w:hAnsi="Calibri" w:cs="Calibri"/>
        </w:rPr>
      </w:pP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9.</w:t>
      </w:r>
    </w:p>
    <w:p w14:paraId="59E81080" w14:textId="77777777" w:rsidR="00BA7C4E" w:rsidRPr="00CD181C" w:rsidRDefault="00BA7C4E" w:rsidP="00CD181C">
      <w:pPr>
        <w:jc w:val="both"/>
        <w:rPr>
          <w:rFonts w:ascii="Calibri" w:hAnsi="Calibri" w:cs="Calibri"/>
        </w:rPr>
      </w:pPr>
    </w:p>
    <w:p w14:paraId="35041477" w14:textId="04D07FE2" w:rsidR="00BA7C4E" w:rsidRDefault="00CD181C" w:rsidP="00BA7C4E">
      <w:pPr>
        <w:pStyle w:val="Ttulo3"/>
      </w:pPr>
      <w:bookmarkStart w:id="17" w:name="56"/>
      <w:bookmarkStart w:id="18" w:name="_Toc184048038"/>
      <w:bookmarkEnd w:id="17"/>
      <w:r w:rsidRPr="00CD181C">
        <w:t>Artículo 56.- Intereses, Alquileres o Cesión de Uso de Bienes y Derechos.</w:t>
      </w:r>
      <w:bookmarkEnd w:id="18"/>
    </w:p>
    <w:p w14:paraId="516C3C57" w14:textId="7891EF05" w:rsidR="00CD181C" w:rsidRPr="00CD181C" w:rsidRDefault="00CD181C" w:rsidP="00CD181C">
      <w:pPr>
        <w:jc w:val="both"/>
        <w:rPr>
          <w:rFonts w:ascii="Calibri" w:hAnsi="Calibri" w:cs="Calibri"/>
        </w:rPr>
      </w:pPr>
      <w:r w:rsidRPr="00CD181C">
        <w:rPr>
          <w:rFonts w:ascii="Calibri" w:hAnsi="Calibri" w:cs="Calibri"/>
        </w:rPr>
        <w:t>Las erogaciones por concepto de intereses, alquileres o cesión del uso de bienes y derechos serán admitidas cuando el acreedor sea contribuyente de algunos de los Impuestos a las Rentas.</w:t>
      </w:r>
      <w:r w:rsidRPr="00CD181C">
        <w:rPr>
          <w:rFonts w:ascii="Calibri" w:hAnsi="Calibri" w:cs="Calibri"/>
        </w:rPr>
        <w:br/>
        <w:t>Cuando esta condición no se cumpla, estas erogaciones serán deducibles siempre que las mismas no sean superiores al precio de mercado o tratándose de préstamos, devenguen intereses a tasas que no superen el promedio de las tasas pasivas del mercado bancario y financiero, aplicables a operaciones de similares características de acuerdo con la publicación del promedio de tasas emanadas del Banco Central del Paraguay.</w:t>
      </w:r>
    </w:p>
    <w:p w14:paraId="4053B357" w14:textId="3F2B63E8" w:rsidR="00CD181C" w:rsidRPr="00CD181C" w:rsidRDefault="00CD181C" w:rsidP="00CD181C">
      <w:pPr>
        <w:jc w:val="both"/>
        <w:rPr>
          <w:rFonts w:ascii="Calibri" w:hAnsi="Calibri" w:cs="Calibri"/>
        </w:rPr>
      </w:pPr>
      <w:r w:rsidRPr="00CD181C">
        <w:rPr>
          <w:rFonts w:ascii="Calibri" w:hAnsi="Calibri" w:cs="Calibri"/>
        </w:rPr>
        <w:t>Reglamenta a:</w:t>
      </w:r>
      <w:r w:rsidR="004D3226">
        <w:rPr>
          <w:rFonts w:ascii="Calibri" w:hAnsi="Calibri" w:cs="Calibri"/>
        </w:rPr>
        <w:t xml:space="preserve"> </w:t>
      </w: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10.</w:t>
      </w:r>
    </w:p>
    <w:p w14:paraId="1102BE04" w14:textId="77777777" w:rsidR="00BA7C4E" w:rsidRDefault="00BA7C4E" w:rsidP="00CD181C">
      <w:pPr>
        <w:jc w:val="both"/>
        <w:rPr>
          <w:rFonts w:ascii="Calibri" w:hAnsi="Calibri" w:cs="Calibri"/>
        </w:rPr>
      </w:pPr>
    </w:p>
    <w:p w14:paraId="6993B99F" w14:textId="31404F42" w:rsidR="00CD181C" w:rsidRDefault="00CD181C" w:rsidP="00BA7C4E">
      <w:pPr>
        <w:pStyle w:val="Ttulo3"/>
      </w:pPr>
      <w:bookmarkStart w:id="19" w:name="57"/>
      <w:bookmarkStart w:id="20" w:name="_Toc184048039"/>
      <w:bookmarkEnd w:id="19"/>
      <w:r w:rsidRPr="00CD181C">
        <w:t>Artículo 57.- Pérdidas Extraordinarias.</w:t>
      </w:r>
      <w:bookmarkEnd w:id="20"/>
    </w:p>
    <w:p w14:paraId="780ADA63" w14:textId="77777777" w:rsidR="004D3226" w:rsidRDefault="00CD181C" w:rsidP="00CD181C">
      <w:pPr>
        <w:jc w:val="both"/>
        <w:rPr>
          <w:rFonts w:ascii="Calibri" w:hAnsi="Calibri" w:cs="Calibri"/>
        </w:rPr>
      </w:pPr>
      <w:r w:rsidRPr="00CD181C">
        <w:rPr>
          <w:rFonts w:ascii="Calibri" w:hAnsi="Calibri" w:cs="Calibri"/>
        </w:rPr>
        <w:t>Las pérdidas sufridas por caso fortuito o fuerza mayor, en los bienes del negocio o explotación, así como las originadas por hechos punibles cometidos por terceros contra los bienes aplicados a la obtención de rentas gravadas por el Impuesto, serán deducibles como gasto del ejercicio, siempre que se comunique dentro de los treinta (30) días siguientes de conocido el hecho a la Administración Tributaria; y se cuente con la denuncia ante la Policía Nacional o el Ministerio Público, o la comunicación a la autoridad sanitaria, según corresponda, en el caso de pérdidas por la comisión de un hecho punible (abigeato, hurto o robo) y se trate como costo deducible según lo dispuesto en la presente reglamentación.</w:t>
      </w:r>
    </w:p>
    <w:p w14:paraId="6613F35C" w14:textId="53690F82" w:rsidR="00CD181C" w:rsidRPr="00CD181C" w:rsidRDefault="00CD181C" w:rsidP="00CD181C">
      <w:pPr>
        <w:jc w:val="both"/>
        <w:rPr>
          <w:rFonts w:ascii="Calibri" w:hAnsi="Calibri" w:cs="Calibri"/>
        </w:rPr>
      </w:pPr>
      <w:r w:rsidRPr="00CD181C">
        <w:rPr>
          <w:rFonts w:ascii="Calibri" w:hAnsi="Calibri" w:cs="Calibri"/>
        </w:rPr>
        <w:t>Para la determinación del monto deducible se tomará el valor contable de dichos bienes menos el valor de lo salvado, las indemnizaciones y los seguros percibidos. En caso de que la suma de estos tres últimos conceptos resulte mayor al valor contable se tratará como ingreso gravado.</w:t>
      </w:r>
      <w:r w:rsidRPr="00CD181C">
        <w:rPr>
          <w:rFonts w:ascii="Calibri" w:hAnsi="Calibri" w:cs="Calibri"/>
        </w:rPr>
        <w:br/>
        <w:t>Para efectos de la verificación y cuantificación de las pérdidas sufridas, el contribuyente deberá contar con una nómina de los bienes afectados con especificación de cantidades, unidades de medida y costos unitarios según documentos y registros contables, los que deberán formar parte del archivo tributario del mismo.</w:t>
      </w:r>
    </w:p>
    <w:p w14:paraId="3060E3C3" w14:textId="77777777" w:rsidR="00CD181C" w:rsidRDefault="00CD181C" w:rsidP="00CD181C">
      <w:pPr>
        <w:jc w:val="both"/>
        <w:rPr>
          <w:rFonts w:ascii="Calibri" w:hAnsi="Calibri" w:cs="Calibri"/>
        </w:rPr>
      </w:pPr>
      <w:r w:rsidRPr="00CD181C">
        <w:rPr>
          <w:rFonts w:ascii="Calibri" w:hAnsi="Calibri" w:cs="Calibri"/>
        </w:rPr>
        <w:t>Reglamenta a:</w:t>
      </w:r>
    </w:p>
    <w:p w14:paraId="266BF9B3" w14:textId="100E7C92" w:rsidR="00CD181C" w:rsidRPr="00CD181C" w:rsidRDefault="00CD181C" w:rsidP="00CD181C">
      <w:pPr>
        <w:jc w:val="both"/>
        <w:rPr>
          <w:rFonts w:ascii="Calibri" w:hAnsi="Calibri" w:cs="Calibri"/>
        </w:rPr>
      </w:pP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11 y 13.</w:t>
      </w:r>
    </w:p>
    <w:p w14:paraId="17570360" w14:textId="77777777" w:rsidR="00CD181C" w:rsidRPr="00CD181C" w:rsidRDefault="00CD181C" w:rsidP="00CD181C">
      <w:pPr>
        <w:rPr>
          <w:rFonts w:ascii="Calibri" w:hAnsi="Calibri" w:cs="Calibri"/>
        </w:rPr>
      </w:pPr>
      <w:r w:rsidRPr="00CD181C">
        <w:rPr>
          <w:rFonts w:ascii="Calibri" w:hAnsi="Calibri" w:cs="Calibri"/>
        </w:rPr>
        <w:t> </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CAEDFB" w:themeFill="accent4" w:themeFillTint="33"/>
        <w:tblCellMar>
          <w:top w:w="12" w:type="dxa"/>
          <w:left w:w="12" w:type="dxa"/>
          <w:bottom w:w="12" w:type="dxa"/>
          <w:right w:w="12" w:type="dxa"/>
        </w:tblCellMar>
        <w:tblLook w:val="04A0" w:firstRow="1" w:lastRow="0" w:firstColumn="1" w:lastColumn="0" w:noHBand="0" w:noVBand="1"/>
      </w:tblPr>
      <w:tblGrid>
        <w:gridCol w:w="4592"/>
        <w:gridCol w:w="4592"/>
      </w:tblGrid>
      <w:tr w:rsidR="00CD181C" w:rsidRPr="00CD181C" w14:paraId="70FCD269" w14:textId="77777777" w:rsidTr="00930432">
        <w:trPr>
          <w:tblHeader/>
        </w:trPr>
        <w:tc>
          <w:tcPr>
            <w:tcW w:w="2500" w:type="pct"/>
            <w:shd w:val="clear" w:color="auto" w:fill="00B0F0"/>
            <w:tcMar>
              <w:top w:w="0" w:type="dxa"/>
              <w:left w:w="75" w:type="dxa"/>
              <w:bottom w:w="0" w:type="dxa"/>
              <w:right w:w="75" w:type="dxa"/>
            </w:tcMar>
            <w:vAlign w:val="center"/>
            <w:hideMark/>
          </w:tcPr>
          <w:p w14:paraId="002927F6" w14:textId="77777777" w:rsidR="00CD181C" w:rsidRPr="00CD181C" w:rsidRDefault="00CD181C" w:rsidP="007667C2">
            <w:pPr>
              <w:jc w:val="center"/>
              <w:rPr>
                <w:rFonts w:ascii="Calibri" w:hAnsi="Calibri" w:cs="Calibri"/>
                <w:b/>
                <w:bCs/>
              </w:rPr>
            </w:pPr>
            <w:r w:rsidRPr="00CD181C">
              <w:rPr>
                <w:rFonts w:ascii="Calibri" w:hAnsi="Calibri" w:cs="Calibri"/>
                <w:b/>
                <w:bCs/>
              </w:rPr>
              <w:t xml:space="preserve">Texto original del Decreto </w:t>
            </w:r>
            <w:proofErr w:type="spellStart"/>
            <w:r w:rsidRPr="00CD181C">
              <w:rPr>
                <w:rFonts w:ascii="Calibri" w:hAnsi="Calibri" w:cs="Calibri"/>
                <w:b/>
                <w:bCs/>
              </w:rPr>
              <w:t>Nº</w:t>
            </w:r>
            <w:proofErr w:type="spellEnd"/>
            <w:r w:rsidRPr="00CD181C">
              <w:rPr>
                <w:rFonts w:ascii="Calibri" w:hAnsi="Calibri" w:cs="Calibri"/>
                <w:b/>
                <w:bCs/>
              </w:rPr>
              <w:t xml:space="preserve"> 3.182/2019.</w:t>
            </w:r>
          </w:p>
        </w:tc>
        <w:tc>
          <w:tcPr>
            <w:tcW w:w="2500" w:type="pct"/>
            <w:shd w:val="clear" w:color="auto" w:fill="00B0F0"/>
            <w:tcMar>
              <w:top w:w="0" w:type="dxa"/>
              <w:left w:w="75" w:type="dxa"/>
              <w:bottom w:w="0" w:type="dxa"/>
              <w:right w:w="75" w:type="dxa"/>
            </w:tcMar>
            <w:vAlign w:val="center"/>
            <w:hideMark/>
          </w:tcPr>
          <w:p w14:paraId="45EEB0AE" w14:textId="31757FDA" w:rsidR="00CD181C" w:rsidRPr="00CD181C" w:rsidRDefault="00CD181C" w:rsidP="007667C2">
            <w:pPr>
              <w:jc w:val="center"/>
              <w:rPr>
                <w:rFonts w:ascii="Calibri" w:hAnsi="Calibri" w:cs="Calibri"/>
                <w:b/>
                <w:bCs/>
              </w:rPr>
            </w:pPr>
            <w:r w:rsidRPr="00CD181C">
              <w:rPr>
                <w:rFonts w:ascii="Calibri" w:hAnsi="Calibri" w:cs="Calibri"/>
                <w:b/>
                <w:bCs/>
              </w:rPr>
              <w:t xml:space="preserve">Nueva redacción según el Decreto </w:t>
            </w:r>
            <w:proofErr w:type="spellStart"/>
            <w:r w:rsidRPr="00CD181C">
              <w:rPr>
                <w:rFonts w:ascii="Calibri" w:hAnsi="Calibri" w:cs="Calibri"/>
                <w:b/>
                <w:bCs/>
              </w:rPr>
              <w:t>Nº</w:t>
            </w:r>
            <w:proofErr w:type="spellEnd"/>
            <w:r w:rsidRPr="00CD181C">
              <w:rPr>
                <w:rFonts w:ascii="Calibri" w:hAnsi="Calibri" w:cs="Calibri"/>
                <w:b/>
                <w:bCs/>
              </w:rPr>
              <w:t xml:space="preserve"> 6.105/2021, Artículo 1º.</w:t>
            </w:r>
          </w:p>
        </w:tc>
      </w:tr>
      <w:tr w:rsidR="00CD181C" w:rsidRPr="00CD181C" w14:paraId="4601A312" w14:textId="77777777" w:rsidTr="00930432">
        <w:trPr>
          <w:tblHeader/>
        </w:trPr>
        <w:tc>
          <w:tcPr>
            <w:tcW w:w="2500" w:type="pct"/>
            <w:shd w:val="clear" w:color="auto" w:fill="00B0F0"/>
            <w:tcMar>
              <w:top w:w="0" w:type="dxa"/>
              <w:left w:w="75" w:type="dxa"/>
              <w:bottom w:w="0" w:type="dxa"/>
              <w:right w:w="75" w:type="dxa"/>
            </w:tcMar>
            <w:vAlign w:val="center"/>
            <w:hideMark/>
          </w:tcPr>
          <w:p w14:paraId="2E20EE25" w14:textId="77777777" w:rsidR="00CD181C" w:rsidRPr="007667C2" w:rsidRDefault="00CD181C" w:rsidP="007667C2">
            <w:pPr>
              <w:pStyle w:val="Ttulo3"/>
              <w:jc w:val="center"/>
              <w:rPr>
                <w:bCs/>
              </w:rPr>
            </w:pPr>
            <w:bookmarkStart w:id="21" w:name="58"/>
            <w:bookmarkStart w:id="22" w:name="_Toc184048040"/>
            <w:bookmarkEnd w:id="21"/>
            <w:r w:rsidRPr="007667C2">
              <w:rPr>
                <w:bCs/>
              </w:rPr>
              <w:t>Artículo 58.- Baja de Inventarios.</w:t>
            </w:r>
            <w:bookmarkEnd w:id="22"/>
          </w:p>
        </w:tc>
        <w:tc>
          <w:tcPr>
            <w:tcW w:w="2500" w:type="pct"/>
            <w:shd w:val="clear" w:color="auto" w:fill="00B0F0"/>
            <w:tcMar>
              <w:top w:w="0" w:type="dxa"/>
              <w:left w:w="75" w:type="dxa"/>
              <w:bottom w:w="0" w:type="dxa"/>
              <w:right w:w="75" w:type="dxa"/>
            </w:tcMar>
            <w:vAlign w:val="center"/>
            <w:hideMark/>
          </w:tcPr>
          <w:p w14:paraId="405CDFC7" w14:textId="77777777" w:rsidR="00CD181C" w:rsidRPr="007667C2" w:rsidRDefault="00CD181C" w:rsidP="007667C2">
            <w:pPr>
              <w:pStyle w:val="Ttulo3"/>
              <w:jc w:val="center"/>
              <w:rPr>
                <w:bCs/>
              </w:rPr>
            </w:pPr>
            <w:bookmarkStart w:id="23" w:name="_Toc184048041"/>
            <w:r w:rsidRPr="007667C2">
              <w:rPr>
                <w:bCs/>
              </w:rPr>
              <w:t>Art. 58.- Baja de Inventarios y de Bienes del Activo Fijo.</w:t>
            </w:r>
            <w:bookmarkEnd w:id="23"/>
          </w:p>
        </w:tc>
      </w:tr>
      <w:tr w:rsidR="00CD181C" w:rsidRPr="00CD181C" w14:paraId="630FC69E" w14:textId="77777777" w:rsidTr="009F67FB">
        <w:tc>
          <w:tcPr>
            <w:tcW w:w="2500" w:type="pct"/>
            <w:shd w:val="clear" w:color="auto" w:fill="CAEDFB" w:themeFill="accent4" w:themeFillTint="33"/>
            <w:tcMar>
              <w:top w:w="0" w:type="dxa"/>
              <w:left w:w="75" w:type="dxa"/>
              <w:bottom w:w="0" w:type="dxa"/>
              <w:right w:w="75" w:type="dxa"/>
            </w:tcMar>
            <w:vAlign w:val="center"/>
            <w:hideMark/>
          </w:tcPr>
          <w:p w14:paraId="47D9B1D8" w14:textId="77777777" w:rsidR="00CD181C" w:rsidRPr="00CD181C" w:rsidRDefault="00CD181C" w:rsidP="009F67FB">
            <w:pPr>
              <w:jc w:val="both"/>
              <w:rPr>
                <w:rFonts w:ascii="Calibri" w:hAnsi="Calibri" w:cs="Calibri"/>
              </w:rPr>
            </w:pPr>
            <w:r w:rsidRPr="00CD181C">
              <w:rPr>
                <w:rFonts w:ascii="Calibri" w:hAnsi="Calibri" w:cs="Calibri"/>
              </w:rPr>
              <w:t>En los casos de descomposición u obsolescencia de bienes de cambio, para que su baja de inventario sea aceptada como pérdidas se deberá cumplir con lo siguiente:</w:t>
            </w:r>
          </w:p>
        </w:tc>
        <w:tc>
          <w:tcPr>
            <w:tcW w:w="2500" w:type="pct"/>
            <w:shd w:val="clear" w:color="auto" w:fill="CAEDFB" w:themeFill="accent4" w:themeFillTint="33"/>
            <w:tcMar>
              <w:top w:w="0" w:type="dxa"/>
              <w:left w:w="75" w:type="dxa"/>
              <w:bottom w:w="0" w:type="dxa"/>
              <w:right w:w="75" w:type="dxa"/>
            </w:tcMar>
            <w:vAlign w:val="center"/>
            <w:hideMark/>
          </w:tcPr>
          <w:p w14:paraId="0588902D" w14:textId="77777777" w:rsidR="00CD181C" w:rsidRPr="00CD181C" w:rsidRDefault="00CD181C" w:rsidP="009F67FB">
            <w:pPr>
              <w:jc w:val="both"/>
              <w:rPr>
                <w:rFonts w:ascii="Calibri" w:hAnsi="Calibri" w:cs="Calibri"/>
              </w:rPr>
            </w:pPr>
            <w:r w:rsidRPr="00CD181C">
              <w:rPr>
                <w:rFonts w:ascii="Calibri" w:hAnsi="Calibri" w:cs="Calibri"/>
              </w:rPr>
              <w:t>En los casos de descomposición u obsolescencia de bienes de cambio o de bienes del activo fijo, para que su baja sea aceptada como pérdida se deberá cumplir con lo siguiente:</w:t>
            </w:r>
          </w:p>
        </w:tc>
      </w:tr>
      <w:tr w:rsidR="00CD181C" w:rsidRPr="00CD181C" w14:paraId="0CE5E9C7" w14:textId="77777777" w:rsidTr="009F67FB">
        <w:tc>
          <w:tcPr>
            <w:tcW w:w="2500" w:type="pct"/>
            <w:shd w:val="clear" w:color="auto" w:fill="CAEDFB" w:themeFill="accent4" w:themeFillTint="33"/>
            <w:tcMar>
              <w:top w:w="0" w:type="dxa"/>
              <w:left w:w="75" w:type="dxa"/>
              <w:bottom w:w="0" w:type="dxa"/>
              <w:right w:w="75" w:type="dxa"/>
            </w:tcMar>
            <w:vAlign w:val="center"/>
            <w:hideMark/>
          </w:tcPr>
          <w:p w14:paraId="6F43850B" w14:textId="77777777" w:rsidR="00CD181C" w:rsidRPr="00CD181C" w:rsidRDefault="00CD181C" w:rsidP="009F67FB">
            <w:pPr>
              <w:jc w:val="both"/>
              <w:rPr>
                <w:rFonts w:ascii="Calibri" w:hAnsi="Calibri" w:cs="Calibri"/>
              </w:rPr>
            </w:pPr>
            <w:r w:rsidRPr="00CD181C">
              <w:rPr>
                <w:rFonts w:ascii="Calibri" w:hAnsi="Calibri" w:cs="Calibri"/>
              </w:rPr>
              <w:t>Cuando el contribuyente esté obligado a llevar registros contables con dictamen de auditor externo, éste será el responsable de comprobar el detalle de los bienes afectados que se darán de baja en el inventario, estando obligado a informarlo en su dictamen anual.</w:t>
            </w:r>
          </w:p>
        </w:tc>
        <w:tc>
          <w:tcPr>
            <w:tcW w:w="2500" w:type="pct"/>
            <w:shd w:val="clear" w:color="auto" w:fill="CAEDFB" w:themeFill="accent4" w:themeFillTint="33"/>
            <w:tcMar>
              <w:top w:w="0" w:type="dxa"/>
              <w:left w:w="75" w:type="dxa"/>
              <w:bottom w:w="0" w:type="dxa"/>
              <w:right w:w="75" w:type="dxa"/>
            </w:tcMar>
            <w:vAlign w:val="center"/>
            <w:hideMark/>
          </w:tcPr>
          <w:p w14:paraId="0C53FB8C" w14:textId="77777777" w:rsidR="00CD181C" w:rsidRPr="00CD181C" w:rsidRDefault="00CD181C" w:rsidP="009F67FB">
            <w:pPr>
              <w:jc w:val="both"/>
              <w:rPr>
                <w:rFonts w:ascii="Calibri" w:hAnsi="Calibri" w:cs="Calibri"/>
              </w:rPr>
            </w:pPr>
            <w:r w:rsidRPr="00CD181C">
              <w:rPr>
                <w:rFonts w:ascii="Calibri" w:hAnsi="Calibri" w:cs="Calibri"/>
              </w:rPr>
              <w:t>Cuando el contribuyente esté obligado a llevar registros contables con dictamen de auditor externo, este será el responsable de comprobar el detalle de los bienes afectados que se darán de baja, estando obligado a informarlo en su dictamen anual.</w:t>
            </w:r>
          </w:p>
        </w:tc>
      </w:tr>
      <w:tr w:rsidR="00CD181C" w:rsidRPr="00CD181C" w14:paraId="44F3C004" w14:textId="77777777" w:rsidTr="009F67FB">
        <w:tc>
          <w:tcPr>
            <w:tcW w:w="2500" w:type="pct"/>
            <w:shd w:val="clear" w:color="auto" w:fill="CAEDFB" w:themeFill="accent4" w:themeFillTint="33"/>
            <w:tcMar>
              <w:top w:w="0" w:type="dxa"/>
              <w:left w:w="75" w:type="dxa"/>
              <w:bottom w:w="0" w:type="dxa"/>
              <w:right w:w="75" w:type="dxa"/>
            </w:tcMar>
            <w:vAlign w:val="center"/>
            <w:hideMark/>
          </w:tcPr>
          <w:p w14:paraId="6B462872" w14:textId="77777777" w:rsidR="00CD181C" w:rsidRPr="00CD181C" w:rsidRDefault="00CD181C" w:rsidP="009F67FB">
            <w:pPr>
              <w:jc w:val="both"/>
              <w:rPr>
                <w:rFonts w:ascii="Calibri" w:hAnsi="Calibri" w:cs="Calibri"/>
              </w:rPr>
            </w:pPr>
            <w:r w:rsidRPr="00CD181C">
              <w:rPr>
                <w:rFonts w:ascii="Calibri" w:hAnsi="Calibri" w:cs="Calibri"/>
              </w:rPr>
              <w:lastRenderedPageBreak/>
              <w:t>En los demás casos, se certificará la realización del acto mediante la intervención del contador del contribuyente, debiendo suscribirse el acta pertinente, señalándose pormenorizadamente en la misma, los bienes dados de baja, con sus valores correspondientes. La respectiva acta formará parte del archivo tributario del contribuyente y estará sujeta a las demás formalidades que establezca la Administración Tributaria.</w:t>
            </w:r>
          </w:p>
        </w:tc>
        <w:tc>
          <w:tcPr>
            <w:tcW w:w="2500" w:type="pct"/>
            <w:shd w:val="clear" w:color="auto" w:fill="CAEDFB" w:themeFill="accent4" w:themeFillTint="33"/>
            <w:tcMar>
              <w:top w:w="0" w:type="dxa"/>
              <w:left w:w="75" w:type="dxa"/>
              <w:bottom w:w="0" w:type="dxa"/>
              <w:right w:w="75" w:type="dxa"/>
            </w:tcMar>
            <w:vAlign w:val="center"/>
            <w:hideMark/>
          </w:tcPr>
          <w:p w14:paraId="7D8A7D3E" w14:textId="77777777" w:rsidR="00CD181C" w:rsidRPr="00CD181C" w:rsidRDefault="00CD181C" w:rsidP="009F67FB">
            <w:pPr>
              <w:jc w:val="both"/>
              <w:rPr>
                <w:rFonts w:ascii="Calibri" w:hAnsi="Calibri" w:cs="Calibri"/>
              </w:rPr>
            </w:pPr>
            <w:r w:rsidRPr="00CD181C">
              <w:rPr>
                <w:rFonts w:ascii="Calibri" w:hAnsi="Calibri" w:cs="Calibri"/>
              </w:rPr>
              <w:t>En los demás casos, se certificará la realización del acto mediante la intervención del contador del contribuyente, debiendo suscribirse el acta pertinente, señalándose pormenorizadamente en la misma los bienes dados de baja con sus valores correspondientes. La respectiva acta formará parte del archivo tributario del contribuyente y estará sujeta a las demás formalidades que establezca la Administración Tributaria.</w:t>
            </w:r>
          </w:p>
        </w:tc>
      </w:tr>
    </w:tbl>
    <w:p w14:paraId="0E33B71F" w14:textId="77777777" w:rsidR="009F67FB" w:rsidRDefault="00CD181C" w:rsidP="009F67FB">
      <w:pPr>
        <w:jc w:val="both"/>
        <w:rPr>
          <w:rFonts w:ascii="Calibri" w:hAnsi="Calibri" w:cs="Calibri"/>
        </w:rPr>
      </w:pPr>
      <w:r w:rsidRPr="00CD181C">
        <w:rPr>
          <w:rFonts w:ascii="Calibri" w:hAnsi="Calibri" w:cs="Calibri"/>
        </w:rPr>
        <w:t>Reglamenta a:</w:t>
      </w:r>
    </w:p>
    <w:p w14:paraId="561A231B" w14:textId="7104D3F6" w:rsidR="00CD181C" w:rsidRDefault="00CD181C" w:rsidP="009F67FB">
      <w:pPr>
        <w:jc w:val="both"/>
        <w:rPr>
          <w:rFonts w:ascii="Calibri" w:hAnsi="Calibri" w:cs="Calibri"/>
        </w:rPr>
      </w:pPr>
      <w:r w:rsidRPr="00CD181C">
        <w:rPr>
          <w:rFonts w:ascii="Calibri" w:hAnsi="Calibri" w:cs="Calibri"/>
        </w:rPr>
        <w:t xml:space="preserve">Ley </w:t>
      </w:r>
      <w:proofErr w:type="spellStart"/>
      <w:r w:rsidRPr="00CD181C">
        <w:rPr>
          <w:rFonts w:ascii="Calibri" w:hAnsi="Calibri" w:cs="Calibri"/>
        </w:rPr>
        <w:t>N°</w:t>
      </w:r>
      <w:proofErr w:type="spellEnd"/>
      <w:r w:rsidRPr="00CD181C">
        <w:rPr>
          <w:rFonts w:ascii="Calibri" w:hAnsi="Calibri" w:cs="Calibri"/>
        </w:rPr>
        <w:t xml:space="preserve"> 6.380/19 Artículo 11, Artículo 15° </w:t>
      </w:r>
      <w:proofErr w:type="spellStart"/>
      <w:r w:rsidRPr="00CD181C">
        <w:rPr>
          <w:rFonts w:ascii="Calibri" w:hAnsi="Calibri" w:cs="Calibri"/>
        </w:rPr>
        <w:t>num</w:t>
      </w:r>
      <w:proofErr w:type="spellEnd"/>
      <w:r w:rsidRPr="00CD181C">
        <w:rPr>
          <w:rFonts w:ascii="Calibri" w:hAnsi="Calibri" w:cs="Calibri"/>
        </w:rPr>
        <w:t>. 11.</w:t>
      </w:r>
    </w:p>
    <w:p w14:paraId="3D329373" w14:textId="77777777" w:rsidR="00BA7C4E" w:rsidRPr="00CD181C" w:rsidRDefault="00BA7C4E" w:rsidP="009F67FB">
      <w:pPr>
        <w:jc w:val="both"/>
        <w:rPr>
          <w:rFonts w:ascii="Calibri" w:hAnsi="Calibri" w:cs="Calibri"/>
        </w:rPr>
      </w:pPr>
    </w:p>
    <w:p w14:paraId="2584F6DC" w14:textId="61446AF1" w:rsidR="009F67FB" w:rsidRDefault="00CD181C" w:rsidP="00BA7C4E">
      <w:pPr>
        <w:pStyle w:val="Ttulo3"/>
      </w:pPr>
      <w:bookmarkStart w:id="24" w:name="59"/>
      <w:bookmarkStart w:id="25" w:name="_Toc184048042"/>
      <w:bookmarkEnd w:id="24"/>
      <w:r w:rsidRPr="00CD181C">
        <w:t>Artículo 59.- Mermas.</w:t>
      </w:r>
      <w:bookmarkEnd w:id="25"/>
    </w:p>
    <w:p w14:paraId="43C1B1DA" w14:textId="78FF12FC" w:rsidR="00CD181C" w:rsidRPr="00CD181C" w:rsidRDefault="00CD181C" w:rsidP="009F67FB">
      <w:pPr>
        <w:jc w:val="both"/>
        <w:rPr>
          <w:rFonts w:ascii="Calibri" w:hAnsi="Calibri" w:cs="Calibri"/>
        </w:rPr>
      </w:pPr>
      <w:r w:rsidRPr="00CD181C">
        <w:rPr>
          <w:rFonts w:ascii="Calibri" w:hAnsi="Calibri" w:cs="Calibri"/>
        </w:rPr>
        <w:t>Las mermas por evaporación o deshidratación y otras causas naturales a que están expuestos ciertos bienes serán deducibles siempre que no excedan los márgenes técnicos aceptables, debiendo conservar el contribuyente dentro de su archivo tributario el dictamen respectivo emitido por la institución competente, y a falta del mismo, por un experto profesional e independiente, en el cual se haga constar las mermas que se produzcan.</w:t>
      </w:r>
      <w:r w:rsidRPr="00CD181C">
        <w:rPr>
          <w:rFonts w:ascii="Calibri" w:hAnsi="Calibri" w:cs="Calibri"/>
        </w:rPr>
        <w:br/>
        <w:t>Para asegurar la aplicación uniforme de lo dispuesto en el presente artículo, la Administración Tributaria podrá dictar normas técnicamente fundamentadas y de cumplimiento obligatorio relativas a promedios, coeficientes y demás indicadores que sirvan de base a los márgenes técnicos indicados en el párrafo precedente.</w:t>
      </w:r>
    </w:p>
    <w:p w14:paraId="44522E1D" w14:textId="77777777" w:rsidR="009F67FB" w:rsidRDefault="00CD181C" w:rsidP="009F67FB">
      <w:pPr>
        <w:jc w:val="both"/>
        <w:rPr>
          <w:rFonts w:ascii="Calibri" w:hAnsi="Calibri" w:cs="Calibri"/>
        </w:rPr>
      </w:pPr>
      <w:r w:rsidRPr="00CD181C">
        <w:rPr>
          <w:rFonts w:ascii="Calibri" w:hAnsi="Calibri" w:cs="Calibri"/>
        </w:rPr>
        <w:t>Reglamenta a:</w:t>
      </w:r>
    </w:p>
    <w:p w14:paraId="78D0D960" w14:textId="1FBFF45D" w:rsidR="00CD181C" w:rsidRDefault="00CD181C" w:rsidP="009F67FB">
      <w:pPr>
        <w:jc w:val="both"/>
        <w:rPr>
          <w:rFonts w:ascii="Calibri" w:hAnsi="Calibri" w:cs="Calibri"/>
        </w:rPr>
      </w:pP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11.</w:t>
      </w:r>
    </w:p>
    <w:p w14:paraId="4EAFEF8C" w14:textId="77777777" w:rsidR="00BA7C4E" w:rsidRDefault="00BA7C4E" w:rsidP="009F67FB">
      <w:pPr>
        <w:jc w:val="both"/>
        <w:rPr>
          <w:rFonts w:ascii="Calibri" w:hAnsi="Calibri" w:cs="Calibri"/>
        </w:rPr>
      </w:pPr>
    </w:p>
    <w:p w14:paraId="1246D652" w14:textId="77777777" w:rsidR="00930432" w:rsidRPr="00CD181C" w:rsidRDefault="00930432" w:rsidP="009F67FB">
      <w:pPr>
        <w:jc w:val="both"/>
        <w:rPr>
          <w:rFonts w:ascii="Calibri" w:hAnsi="Calibri" w:cs="Calibri"/>
        </w:rPr>
      </w:pPr>
    </w:p>
    <w:p w14:paraId="1DB30EC2" w14:textId="0166B0D4" w:rsidR="009F67FB" w:rsidRDefault="00CD181C" w:rsidP="00BA7C4E">
      <w:pPr>
        <w:pStyle w:val="Ttulo3"/>
      </w:pPr>
      <w:bookmarkStart w:id="26" w:name="60"/>
      <w:bookmarkStart w:id="27" w:name="_Toc184048043"/>
      <w:bookmarkEnd w:id="26"/>
      <w:r w:rsidRPr="00CD181C">
        <w:t>Artículo 60.- Castigos sobre Malos Créditos.</w:t>
      </w:r>
      <w:bookmarkEnd w:id="27"/>
    </w:p>
    <w:p w14:paraId="41D666FC" w14:textId="77777777" w:rsidR="009F67FB" w:rsidRDefault="00CD181C" w:rsidP="009F67FB">
      <w:pPr>
        <w:jc w:val="both"/>
        <w:rPr>
          <w:rFonts w:ascii="Calibri" w:hAnsi="Calibri" w:cs="Calibri"/>
        </w:rPr>
      </w:pPr>
      <w:r w:rsidRPr="00CD181C">
        <w:rPr>
          <w:rFonts w:ascii="Calibri" w:hAnsi="Calibri" w:cs="Calibri"/>
        </w:rPr>
        <w:t xml:space="preserve">Serán deducibles los castigos sobre créditos incobrables o de dudoso cobro. Al efecto, se considerarán como tales, aquellos créditos que tengan su origen en operaciones gravadas por </w:t>
      </w:r>
      <w:r w:rsidRPr="00CD181C">
        <w:rPr>
          <w:rFonts w:ascii="Calibri" w:hAnsi="Calibri" w:cs="Calibri"/>
        </w:rPr>
        <w:lastRenderedPageBreak/>
        <w:t>el presente Impuesto, los que deberán ser imputados a los ejercicios fiscales en que se concrete el primero de los siguientes hechos:</w:t>
      </w:r>
    </w:p>
    <w:p w14:paraId="7888D8A7" w14:textId="77777777" w:rsidR="009F67FB" w:rsidRDefault="00CD181C" w:rsidP="009F67FB">
      <w:pPr>
        <w:jc w:val="both"/>
        <w:rPr>
          <w:rFonts w:ascii="Calibri" w:hAnsi="Calibri" w:cs="Calibri"/>
        </w:rPr>
      </w:pPr>
      <w:r w:rsidRPr="00CD181C">
        <w:rPr>
          <w:rFonts w:ascii="Calibri" w:hAnsi="Calibri" w:cs="Calibri"/>
          <w:b/>
          <w:bCs/>
        </w:rPr>
        <w:t>1)</w:t>
      </w:r>
      <w:r w:rsidRPr="00CD181C">
        <w:rPr>
          <w:rFonts w:ascii="Calibri" w:hAnsi="Calibri" w:cs="Calibri"/>
        </w:rPr>
        <w:t> Si hubiera transcurrido treinta y seis meses (36) meses a partir del momento en que se hicieron exigibles, sin haber sido percibidos.</w:t>
      </w:r>
    </w:p>
    <w:p w14:paraId="7F302844" w14:textId="4E85B735" w:rsidR="00CD181C" w:rsidRPr="00CD181C" w:rsidRDefault="00CD181C" w:rsidP="009F67FB">
      <w:pPr>
        <w:jc w:val="both"/>
        <w:rPr>
          <w:rFonts w:ascii="Calibri" w:hAnsi="Calibri" w:cs="Calibri"/>
        </w:rPr>
      </w:pPr>
      <w:r w:rsidRPr="00CD181C">
        <w:rPr>
          <w:rFonts w:ascii="Calibri" w:hAnsi="Calibri" w:cs="Calibri"/>
          <w:b/>
          <w:bCs/>
        </w:rPr>
        <w:t>2)</w:t>
      </w:r>
      <w:r w:rsidRPr="00CD181C">
        <w:rPr>
          <w:rFonts w:ascii="Calibri" w:hAnsi="Calibri" w:cs="Calibri"/>
        </w:rPr>
        <w:t> Se hubiera dictado la inhibición general de vender y gravar bienes e inscripto en la Dirección General de los Registros Públicos. Esta situación de incobrabilidad tendrá validez solamente durante el ejercicio fiscal que la inhibición general hubiera sido dictada.</w:t>
      </w:r>
      <w:r w:rsidRPr="00CD181C">
        <w:rPr>
          <w:rFonts w:ascii="Calibri" w:hAnsi="Calibri" w:cs="Calibri"/>
        </w:rPr>
        <w:br/>
      </w:r>
      <w:r w:rsidRPr="00CD181C">
        <w:rPr>
          <w:rFonts w:ascii="Calibri" w:hAnsi="Calibri" w:cs="Calibri"/>
          <w:b/>
          <w:bCs/>
        </w:rPr>
        <w:t>3)</w:t>
      </w:r>
      <w:r w:rsidRPr="00CD181C">
        <w:rPr>
          <w:rFonts w:ascii="Calibri" w:hAnsi="Calibri" w:cs="Calibri"/>
        </w:rPr>
        <w:t> Se hubiera declarado la quiebra del deudor del crédito por la autoridad competente.</w:t>
      </w:r>
      <w:r w:rsidRPr="00CD181C">
        <w:rPr>
          <w:rFonts w:ascii="Calibri" w:hAnsi="Calibri" w:cs="Calibri"/>
        </w:rPr>
        <w:br/>
      </w:r>
      <w:r w:rsidRPr="00CD181C">
        <w:rPr>
          <w:rFonts w:ascii="Calibri" w:hAnsi="Calibri" w:cs="Calibri"/>
          <w:b/>
          <w:bCs/>
        </w:rPr>
        <w:t>4)</w:t>
      </w:r>
      <w:r w:rsidRPr="00CD181C">
        <w:rPr>
          <w:rFonts w:ascii="Calibri" w:hAnsi="Calibri" w:cs="Calibri"/>
        </w:rPr>
        <w:t xml:space="preserve"> Se hubiera dictado por autoridad competente, la resolución homologando el concordato del concurso de acreedores regido por la Ley </w:t>
      </w:r>
      <w:proofErr w:type="spellStart"/>
      <w:r w:rsidRPr="00CD181C">
        <w:rPr>
          <w:rFonts w:ascii="Calibri" w:hAnsi="Calibri" w:cs="Calibri"/>
        </w:rPr>
        <w:t>N°</w:t>
      </w:r>
      <w:proofErr w:type="spellEnd"/>
      <w:r w:rsidRPr="00CD181C">
        <w:rPr>
          <w:rFonts w:ascii="Calibri" w:hAnsi="Calibri" w:cs="Calibri"/>
        </w:rPr>
        <w:t xml:space="preserve"> 154/1969 "De Quiebras", la pérdida neta proveniente de quitas definitivas de activos originadas en tales homologaciones, se imputará proporcionalmente a los ejercicios fiscales en que venzan las cuotas concúrsales pactadas.</w:t>
      </w:r>
    </w:p>
    <w:p w14:paraId="7A3DC966" w14:textId="77777777" w:rsidR="009F67FB" w:rsidRDefault="00CD181C" w:rsidP="009F67FB">
      <w:pPr>
        <w:jc w:val="both"/>
        <w:rPr>
          <w:rFonts w:ascii="Calibri" w:hAnsi="Calibri" w:cs="Calibri"/>
        </w:rPr>
      </w:pPr>
      <w:r w:rsidRPr="00CD181C">
        <w:rPr>
          <w:rFonts w:ascii="Calibri" w:hAnsi="Calibri" w:cs="Calibri"/>
        </w:rPr>
        <w:t>Reglamenta a:</w:t>
      </w:r>
    </w:p>
    <w:p w14:paraId="7585A439" w14:textId="2F6449EA" w:rsidR="00CD181C" w:rsidRDefault="00CD181C" w:rsidP="009F67FB">
      <w:pPr>
        <w:jc w:val="both"/>
        <w:rPr>
          <w:rFonts w:ascii="Calibri" w:hAnsi="Calibri" w:cs="Calibri"/>
        </w:rPr>
      </w:pP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12.</w:t>
      </w:r>
    </w:p>
    <w:p w14:paraId="493DDCA2" w14:textId="77777777" w:rsidR="00BA7C4E" w:rsidRPr="00CD181C" w:rsidRDefault="00BA7C4E" w:rsidP="009F67FB">
      <w:pPr>
        <w:jc w:val="both"/>
        <w:rPr>
          <w:rFonts w:ascii="Calibri" w:hAnsi="Calibri" w:cs="Calibri"/>
        </w:rPr>
      </w:pPr>
    </w:p>
    <w:p w14:paraId="4AA99AE8" w14:textId="049DB8CE" w:rsidR="009F67FB" w:rsidRDefault="00CD181C" w:rsidP="00BA7C4E">
      <w:pPr>
        <w:pStyle w:val="Ttulo3"/>
      </w:pPr>
      <w:bookmarkStart w:id="28" w:name="61"/>
      <w:bookmarkStart w:id="29" w:name="_Toc184048044"/>
      <w:bookmarkEnd w:id="28"/>
      <w:r w:rsidRPr="00CD181C">
        <w:t>Artículo 61.- Previsiones.</w:t>
      </w:r>
      <w:bookmarkEnd w:id="29"/>
    </w:p>
    <w:p w14:paraId="22FA11B9" w14:textId="67A89104" w:rsidR="00CD181C" w:rsidRPr="00CD181C" w:rsidRDefault="00CD181C" w:rsidP="009F67FB">
      <w:pPr>
        <w:jc w:val="both"/>
        <w:rPr>
          <w:rFonts w:ascii="Calibri" w:hAnsi="Calibri" w:cs="Calibri"/>
        </w:rPr>
      </w:pPr>
      <w:r w:rsidRPr="00CD181C">
        <w:rPr>
          <w:rFonts w:ascii="Calibri" w:hAnsi="Calibri" w:cs="Calibri"/>
        </w:rPr>
        <w:t xml:space="preserve">En cuanto a las previsiones, solo serán deducibles aquellas sobre malos créditos otorgados por todas las entidades reguladas por la Ley </w:t>
      </w:r>
      <w:proofErr w:type="spellStart"/>
      <w:r w:rsidRPr="00CD181C">
        <w:rPr>
          <w:rFonts w:ascii="Calibri" w:hAnsi="Calibri" w:cs="Calibri"/>
        </w:rPr>
        <w:t>N°</w:t>
      </w:r>
      <w:proofErr w:type="spellEnd"/>
      <w:r w:rsidRPr="00CD181C">
        <w:rPr>
          <w:rFonts w:ascii="Calibri" w:hAnsi="Calibri" w:cs="Calibri"/>
        </w:rPr>
        <w:t xml:space="preserve"> 861/1996, dentro de los límites establecidos por el Banco Central del Paraguay.</w:t>
      </w:r>
    </w:p>
    <w:p w14:paraId="79028EE6" w14:textId="77777777" w:rsidR="009F67FB" w:rsidRDefault="00CD181C" w:rsidP="009F67FB">
      <w:pPr>
        <w:jc w:val="both"/>
        <w:rPr>
          <w:rFonts w:ascii="Calibri" w:hAnsi="Calibri" w:cs="Calibri"/>
        </w:rPr>
      </w:pPr>
      <w:r w:rsidRPr="00CD181C">
        <w:rPr>
          <w:rFonts w:ascii="Calibri" w:hAnsi="Calibri" w:cs="Calibri"/>
        </w:rPr>
        <w:t>Reglamenta a:</w:t>
      </w:r>
    </w:p>
    <w:p w14:paraId="6E86B926" w14:textId="723106A3" w:rsidR="00CD181C" w:rsidRDefault="00CD181C" w:rsidP="009F67FB">
      <w:pPr>
        <w:jc w:val="both"/>
        <w:rPr>
          <w:rFonts w:ascii="Calibri" w:hAnsi="Calibri" w:cs="Calibri"/>
        </w:rPr>
      </w:pP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17.</w:t>
      </w:r>
    </w:p>
    <w:p w14:paraId="21ABD2F0" w14:textId="77777777" w:rsidR="00BA7C4E" w:rsidRPr="00CD181C" w:rsidRDefault="00BA7C4E" w:rsidP="009F67FB">
      <w:pPr>
        <w:jc w:val="both"/>
        <w:rPr>
          <w:rFonts w:ascii="Calibri" w:hAnsi="Calibri" w:cs="Calibri"/>
        </w:rPr>
      </w:pPr>
    </w:p>
    <w:p w14:paraId="571D48A8" w14:textId="4DB02949" w:rsidR="009F67FB" w:rsidRDefault="00CD181C" w:rsidP="00BA7C4E">
      <w:pPr>
        <w:pStyle w:val="Ttulo3"/>
      </w:pPr>
      <w:bookmarkStart w:id="30" w:name="62"/>
      <w:bookmarkStart w:id="31" w:name="_Toc184048045"/>
      <w:bookmarkEnd w:id="30"/>
      <w:r w:rsidRPr="00CD181C">
        <w:t>Artículo 62.- Donaciones.</w:t>
      </w:r>
      <w:bookmarkEnd w:id="31"/>
    </w:p>
    <w:p w14:paraId="5C15A5B2" w14:textId="77777777" w:rsidR="009F67FB" w:rsidRDefault="00CD181C" w:rsidP="009F67FB">
      <w:pPr>
        <w:jc w:val="both"/>
        <w:rPr>
          <w:rFonts w:ascii="Calibri" w:hAnsi="Calibri" w:cs="Calibri"/>
        </w:rPr>
      </w:pPr>
      <w:r w:rsidRPr="00CD181C">
        <w:rPr>
          <w:rFonts w:ascii="Calibri" w:hAnsi="Calibri" w:cs="Calibri"/>
        </w:rPr>
        <w:t>Las donaciones deberán ajustarse a lo siguiente:</w:t>
      </w:r>
    </w:p>
    <w:p w14:paraId="3BCA4388" w14:textId="2792082A" w:rsidR="009F67FB" w:rsidRDefault="00CD181C" w:rsidP="009F67FB">
      <w:pPr>
        <w:jc w:val="both"/>
        <w:rPr>
          <w:rFonts w:ascii="Calibri" w:hAnsi="Calibri" w:cs="Calibri"/>
        </w:rPr>
      </w:pPr>
      <w:r w:rsidRPr="00CD181C">
        <w:rPr>
          <w:rFonts w:ascii="Calibri" w:hAnsi="Calibri" w:cs="Calibri"/>
          <w:b/>
          <w:bCs/>
        </w:rPr>
        <w:t>1)</w:t>
      </w:r>
      <w:r w:rsidRPr="00CD181C">
        <w:rPr>
          <w:rFonts w:ascii="Calibri" w:hAnsi="Calibri" w:cs="Calibri"/>
        </w:rPr>
        <w:t> Podrán hacerse en dinero o en bienes tangibles.</w:t>
      </w:r>
    </w:p>
    <w:p w14:paraId="1E41F5BA" w14:textId="77777777" w:rsidR="009F67FB" w:rsidRDefault="00CD181C" w:rsidP="009F67FB">
      <w:pPr>
        <w:jc w:val="both"/>
        <w:rPr>
          <w:rFonts w:ascii="Calibri" w:hAnsi="Calibri" w:cs="Calibri"/>
        </w:rPr>
      </w:pPr>
      <w:r w:rsidRPr="00CD181C">
        <w:rPr>
          <w:rFonts w:ascii="Calibri" w:hAnsi="Calibri" w:cs="Calibri"/>
          <w:b/>
          <w:bCs/>
        </w:rPr>
        <w:t>2)</w:t>
      </w:r>
      <w:r w:rsidRPr="00CD181C">
        <w:rPr>
          <w:rFonts w:ascii="Calibri" w:hAnsi="Calibri" w:cs="Calibri"/>
        </w:rPr>
        <w:t> El valor de las donaciones hechas en muebles, inmuebles u otras especies que constituyan activos fijos, deberá coincidir con el valor contable neto del bien donado.</w:t>
      </w:r>
      <w:r w:rsidRPr="00CD181C">
        <w:rPr>
          <w:rFonts w:ascii="Calibri" w:hAnsi="Calibri" w:cs="Calibri"/>
        </w:rPr>
        <w:br/>
      </w:r>
      <w:r w:rsidRPr="00CD181C">
        <w:rPr>
          <w:rFonts w:ascii="Calibri" w:hAnsi="Calibri" w:cs="Calibri"/>
          <w:b/>
          <w:bCs/>
        </w:rPr>
        <w:t>3)</w:t>
      </w:r>
      <w:r w:rsidRPr="00CD181C">
        <w:rPr>
          <w:rFonts w:ascii="Calibri" w:hAnsi="Calibri" w:cs="Calibri"/>
        </w:rPr>
        <w:t> El donante deberá acreditar, con el respectivo recibo expedido por la entidad beneficiaria, el monto o valor y el destino de la donación efectuada. Igualmente, debe adjuntarse el documento oficial en el que conste el reconocimiento de la entidad como de beneficio público por la Administración Tributaria.</w:t>
      </w:r>
    </w:p>
    <w:p w14:paraId="0844D71B" w14:textId="77777777" w:rsidR="004D3226" w:rsidRDefault="00CD181C" w:rsidP="009F67FB">
      <w:pPr>
        <w:jc w:val="both"/>
        <w:rPr>
          <w:rFonts w:ascii="Calibri" w:hAnsi="Calibri" w:cs="Calibri"/>
        </w:rPr>
      </w:pPr>
      <w:r w:rsidRPr="00CD181C">
        <w:rPr>
          <w:rFonts w:ascii="Calibri" w:hAnsi="Calibri" w:cs="Calibri"/>
          <w:b/>
          <w:bCs/>
        </w:rPr>
        <w:t>4)</w:t>
      </w:r>
      <w:r w:rsidRPr="00CD181C">
        <w:rPr>
          <w:rFonts w:ascii="Calibri" w:hAnsi="Calibri" w:cs="Calibri"/>
        </w:rPr>
        <w:t> En caso de que se trate de donación de un bien tangible, el donante deberá emitir un comprobante de venta al momento de la entrega, debiendo en contrapartida la entidad beneficiaría emitir el correspondiente recibo por el mismo valor.</w:t>
      </w:r>
      <w:r w:rsidRPr="00CD181C">
        <w:rPr>
          <w:rFonts w:ascii="Calibri" w:hAnsi="Calibri" w:cs="Calibri"/>
        </w:rPr>
        <w:br/>
      </w:r>
      <w:r w:rsidRPr="00CD181C">
        <w:rPr>
          <w:rFonts w:ascii="Calibri" w:hAnsi="Calibri" w:cs="Calibri"/>
          <w:b/>
          <w:bCs/>
        </w:rPr>
        <w:lastRenderedPageBreak/>
        <w:t>5)</w:t>
      </w:r>
      <w:r w:rsidRPr="00CD181C">
        <w:rPr>
          <w:rFonts w:ascii="Calibri" w:hAnsi="Calibri" w:cs="Calibri"/>
        </w:rPr>
        <w:t> Para que una donación sea deducible por el donante, las entidades civiles beneficiarías deberán estar reconocidas por la Administración como de beneficio público.</w:t>
      </w:r>
      <w:r w:rsidRPr="00CD181C">
        <w:rPr>
          <w:rFonts w:ascii="Calibri" w:hAnsi="Calibri" w:cs="Calibri"/>
        </w:rPr>
        <w:br/>
      </w:r>
      <w:r w:rsidRPr="00CD181C">
        <w:rPr>
          <w:rFonts w:ascii="Calibri" w:hAnsi="Calibri" w:cs="Calibri"/>
          <w:b/>
          <w:bCs/>
        </w:rPr>
        <w:t>6)</w:t>
      </w:r>
      <w:r w:rsidRPr="00CD181C">
        <w:rPr>
          <w:rFonts w:ascii="Calibri" w:hAnsi="Calibri" w:cs="Calibri"/>
        </w:rPr>
        <w:t> Las donaciones en dinero se documentarán por medio del recibo expedido por el beneficiario y solamente podrán realizarse mediante cheques bancarios y estas donaciones sólo se podrán computar cuando el cheque respectivo sea efectivamente cobrado por la entidad beneficiaría, con el débito consecuente de la cuenta del donante.</w:t>
      </w:r>
    </w:p>
    <w:p w14:paraId="78F605A5" w14:textId="53FCD5A3" w:rsidR="009F67FB" w:rsidRDefault="00CD181C" w:rsidP="009F67FB">
      <w:pPr>
        <w:jc w:val="both"/>
        <w:rPr>
          <w:rFonts w:ascii="Calibri" w:hAnsi="Calibri" w:cs="Calibri"/>
        </w:rPr>
      </w:pPr>
      <w:r w:rsidRPr="00CD181C">
        <w:rPr>
          <w:rFonts w:ascii="Calibri" w:hAnsi="Calibri" w:cs="Calibri"/>
          <w:b/>
          <w:bCs/>
        </w:rPr>
        <w:t>7)</w:t>
      </w:r>
      <w:r w:rsidRPr="00CD181C">
        <w:rPr>
          <w:rFonts w:ascii="Calibri" w:hAnsi="Calibri" w:cs="Calibri"/>
        </w:rPr>
        <w:t> Las donaciones de bienes inmuebles o de bienes muebles registrables solamente serán deducibles desde el momento en que hayan quedado dichos bienes inscriptos a nombre de la entidad beneficiaría en la Dirección General de los Registros Públicos. Las donaciones de otros bienes se perfeccionarán con la simple entrega del bien.</w:t>
      </w:r>
    </w:p>
    <w:p w14:paraId="4179E9EE" w14:textId="114394F6" w:rsidR="00CD181C" w:rsidRPr="00CD181C" w:rsidRDefault="00CD181C" w:rsidP="009F67FB">
      <w:pPr>
        <w:jc w:val="both"/>
        <w:rPr>
          <w:rFonts w:ascii="Calibri" w:hAnsi="Calibri" w:cs="Calibri"/>
        </w:rPr>
      </w:pPr>
      <w:r w:rsidRPr="00CD181C">
        <w:rPr>
          <w:rFonts w:ascii="Calibri" w:hAnsi="Calibri" w:cs="Calibri"/>
        </w:rPr>
        <w:t>La Administración podrá requerir a las entidades beneficiarías en general, informes relativos a las donaciones recibidas, incluyendo la relación con los donantes, los montos y bienes donados en un determinado período y otros que estime conveniente.</w:t>
      </w:r>
    </w:p>
    <w:p w14:paraId="39400D58" w14:textId="77777777" w:rsidR="009F67FB" w:rsidRDefault="00CD181C" w:rsidP="009F67FB">
      <w:pPr>
        <w:jc w:val="both"/>
        <w:rPr>
          <w:rFonts w:ascii="Calibri" w:hAnsi="Calibri" w:cs="Calibri"/>
        </w:rPr>
      </w:pPr>
      <w:r w:rsidRPr="00CD181C">
        <w:rPr>
          <w:rFonts w:ascii="Calibri" w:hAnsi="Calibri" w:cs="Calibri"/>
        </w:rPr>
        <w:t>Reglamenta a:</w:t>
      </w:r>
    </w:p>
    <w:p w14:paraId="7D102480" w14:textId="694CB9AA" w:rsidR="00CD181C" w:rsidRDefault="00CD181C" w:rsidP="009F67FB">
      <w:pPr>
        <w:jc w:val="both"/>
        <w:rPr>
          <w:rFonts w:ascii="Calibri" w:hAnsi="Calibri" w:cs="Calibri"/>
        </w:rPr>
      </w:pPr>
      <w:r w:rsidRPr="00CD181C">
        <w:rPr>
          <w:rFonts w:ascii="Calibri" w:hAnsi="Calibri" w:cs="Calibri"/>
        </w:rPr>
        <w:t>Ley N° 6.380/19 Artículo 15° </w:t>
      </w:r>
      <w:proofErr w:type="spellStart"/>
      <w:r w:rsidRPr="00CD181C">
        <w:rPr>
          <w:rFonts w:ascii="Calibri" w:hAnsi="Calibri" w:cs="Calibri"/>
        </w:rPr>
        <w:t>num</w:t>
      </w:r>
      <w:proofErr w:type="spellEnd"/>
      <w:r w:rsidRPr="00CD181C">
        <w:rPr>
          <w:rFonts w:ascii="Calibri" w:hAnsi="Calibri" w:cs="Calibri"/>
        </w:rPr>
        <w:t>. 20.</w:t>
      </w:r>
    </w:p>
    <w:p w14:paraId="7896BC30" w14:textId="77777777" w:rsidR="00BA7C4E" w:rsidRPr="00CD181C" w:rsidRDefault="00BA7C4E" w:rsidP="009F67FB">
      <w:pPr>
        <w:jc w:val="both"/>
        <w:rPr>
          <w:rFonts w:ascii="Calibri" w:hAnsi="Calibri" w:cs="Calibri"/>
        </w:rPr>
      </w:pPr>
    </w:p>
    <w:p w14:paraId="04CEDDBF" w14:textId="62AEBD1C" w:rsidR="009F67FB" w:rsidRDefault="00CD181C" w:rsidP="00BA7C4E">
      <w:pPr>
        <w:pStyle w:val="Ttulo3"/>
      </w:pPr>
      <w:bookmarkStart w:id="32" w:name="63"/>
      <w:bookmarkStart w:id="33" w:name="_Toc184048046"/>
      <w:bookmarkEnd w:id="32"/>
      <w:r w:rsidRPr="00CD181C">
        <w:t>Artículo 63. - Beneficio Público.</w:t>
      </w:r>
      <w:bookmarkEnd w:id="33"/>
    </w:p>
    <w:p w14:paraId="2F72700F" w14:textId="77777777" w:rsidR="009F67FB" w:rsidRDefault="00CD181C" w:rsidP="009F67FB">
      <w:pPr>
        <w:jc w:val="both"/>
        <w:rPr>
          <w:rFonts w:ascii="Calibri" w:hAnsi="Calibri" w:cs="Calibri"/>
        </w:rPr>
      </w:pPr>
      <w:r w:rsidRPr="00CD181C">
        <w:rPr>
          <w:rFonts w:ascii="Calibri" w:hAnsi="Calibri" w:cs="Calibri"/>
        </w:rPr>
        <w:t>A efectos tributarios, se considerará beneficio público al servicio o ayuda, manifiesto y notorio, prestado por entidades civiles, con personería jurídica reconocida, que no persigan fines lucrativos; que las actividades no se encuentren restringidas o reservadas a beneficiar solo a sus socios, miembros o asociados y cuyas tareas vayan dirigidas a un sector carente o vulnerable de la población o a la defensa del medio ambiente y del ecosistema según el inciso c) numeral 2 del artículo 25 de la Ley.</w:t>
      </w:r>
    </w:p>
    <w:p w14:paraId="1A616D47" w14:textId="77777777" w:rsidR="009F67FB" w:rsidRDefault="00CD181C" w:rsidP="009F67FB">
      <w:pPr>
        <w:jc w:val="both"/>
        <w:rPr>
          <w:rFonts w:ascii="Calibri" w:hAnsi="Calibri" w:cs="Calibri"/>
        </w:rPr>
      </w:pPr>
      <w:r w:rsidRPr="00CD181C">
        <w:rPr>
          <w:rFonts w:ascii="Calibri" w:hAnsi="Calibri" w:cs="Calibri"/>
        </w:rPr>
        <w:t>Dicho servicio o ayuda se traduce en las siguientes actividades:</w:t>
      </w:r>
    </w:p>
    <w:p w14:paraId="08ED2FF9" w14:textId="77777777" w:rsidR="004D3226" w:rsidRDefault="00CD181C" w:rsidP="009F67FB">
      <w:pPr>
        <w:jc w:val="both"/>
        <w:rPr>
          <w:rFonts w:ascii="Calibri" w:hAnsi="Calibri" w:cs="Calibri"/>
        </w:rPr>
      </w:pPr>
      <w:r w:rsidRPr="00CD181C">
        <w:rPr>
          <w:rFonts w:ascii="Calibri" w:hAnsi="Calibri" w:cs="Calibri"/>
          <w:b/>
          <w:bCs/>
        </w:rPr>
        <w:t>1)</w:t>
      </w:r>
      <w:r w:rsidRPr="00CD181C">
        <w:rPr>
          <w:rFonts w:ascii="Calibri" w:hAnsi="Calibri" w:cs="Calibri"/>
        </w:rPr>
        <w:t> Asistencia social: caridad o beneficencia, contribuyendo al mejoramiento de la calidad de vida o paliando el déficit de necesidades básicas fundamentales (salud, alimentación y abrigo) e incluyendo actividades deportivas dirigidas a la salud física.</w:t>
      </w:r>
    </w:p>
    <w:p w14:paraId="6F5548EB" w14:textId="10F2A26F" w:rsidR="00CD181C" w:rsidRPr="00CD181C" w:rsidRDefault="00CD181C" w:rsidP="009F67FB">
      <w:pPr>
        <w:jc w:val="both"/>
        <w:rPr>
          <w:rFonts w:ascii="Calibri" w:hAnsi="Calibri" w:cs="Calibri"/>
        </w:rPr>
      </w:pPr>
      <w:r w:rsidRPr="00CD181C">
        <w:rPr>
          <w:rFonts w:ascii="Calibri" w:hAnsi="Calibri" w:cs="Calibri"/>
          <w:b/>
          <w:bCs/>
        </w:rPr>
        <w:t>2)</w:t>
      </w:r>
      <w:r w:rsidRPr="00CD181C">
        <w:rPr>
          <w:rFonts w:ascii="Calibri" w:hAnsi="Calibri" w:cs="Calibri"/>
        </w:rPr>
        <w:t> Asistencia educativa: destinada a aumentar el acceso de la población a los niveles de educación inicial y preescolar, básica, media, técnica, terciaria, universitaria y de educación superior.</w:t>
      </w:r>
      <w:r w:rsidRPr="00CD181C">
        <w:rPr>
          <w:rFonts w:ascii="Calibri" w:hAnsi="Calibri" w:cs="Calibri"/>
        </w:rPr>
        <w:br/>
      </w:r>
      <w:r w:rsidRPr="00CD181C">
        <w:rPr>
          <w:rFonts w:ascii="Calibri" w:hAnsi="Calibri" w:cs="Calibri"/>
          <w:b/>
          <w:bCs/>
        </w:rPr>
        <w:t>3)</w:t>
      </w:r>
      <w:r w:rsidRPr="00CD181C">
        <w:rPr>
          <w:rFonts w:ascii="Calibri" w:hAnsi="Calibri" w:cs="Calibri"/>
        </w:rPr>
        <w:t> Asistencia cultural: orientada a la difusión y participación de la población en las diversas actividades folklóricas y artísticas, como ser el teatro, el baile, la pintura, la literatura y la música, como así también las que están orientadas a la salvaguarda y el rescate de las diversas expresiones de la cultura oral y de la memoria colectiva de nuestro pueblo.</w:t>
      </w:r>
      <w:r w:rsidRPr="00CD181C">
        <w:rPr>
          <w:rFonts w:ascii="Calibri" w:hAnsi="Calibri" w:cs="Calibri"/>
        </w:rPr>
        <w:br/>
      </w:r>
      <w:r w:rsidRPr="00CD181C">
        <w:rPr>
          <w:rFonts w:ascii="Calibri" w:hAnsi="Calibri" w:cs="Calibri"/>
          <w:b/>
          <w:bCs/>
        </w:rPr>
        <w:t>4)</w:t>
      </w:r>
      <w:r w:rsidRPr="00CD181C">
        <w:rPr>
          <w:rFonts w:ascii="Calibri" w:hAnsi="Calibri" w:cs="Calibri"/>
        </w:rPr>
        <w:t xml:space="preserve"> Defensa del medio ambiente y el ecosistema: destinadas al mejoramiento de la calidad de vida del ser humano y animales en relación con su entorno, orientada a la difusión y </w:t>
      </w:r>
      <w:r w:rsidRPr="00CD181C">
        <w:rPr>
          <w:rFonts w:ascii="Calibri" w:hAnsi="Calibri" w:cs="Calibri"/>
        </w:rPr>
        <w:lastRenderedPageBreak/>
        <w:t>sensibilización del cuidado del medio ambiente y el efecto de la polución.</w:t>
      </w:r>
      <w:r w:rsidRPr="00CD181C">
        <w:rPr>
          <w:rFonts w:ascii="Calibri" w:hAnsi="Calibri" w:cs="Calibri"/>
        </w:rPr>
        <w:br/>
        <w:t>El reconocimiento como Entidad de Beneficio Público efectuado por la Administración Tributaria, de ningún modo significará un reconocimiento expreso o tácito como entidad exonerada de tributos, ni la eximición del cumplimiento de sus deberes formales.</w:t>
      </w:r>
      <w:r w:rsidRPr="00CD181C">
        <w:rPr>
          <w:rFonts w:ascii="Calibri" w:hAnsi="Calibri" w:cs="Calibri"/>
        </w:rPr>
        <w:br/>
        <w:t>La Administración Tributaria establecerá el procedimiento para la emisión del Certificado de Entidad de Beneficio Público.</w:t>
      </w:r>
    </w:p>
    <w:p w14:paraId="35DB5A7B" w14:textId="45F1171C" w:rsidR="00CD181C" w:rsidRPr="00CD181C" w:rsidRDefault="00CD181C" w:rsidP="009F67FB">
      <w:pPr>
        <w:jc w:val="both"/>
        <w:rPr>
          <w:rFonts w:ascii="Calibri" w:hAnsi="Calibri" w:cs="Calibri"/>
        </w:rPr>
      </w:pPr>
      <w:r w:rsidRPr="00CD181C">
        <w:rPr>
          <w:rFonts w:ascii="Calibri" w:hAnsi="Calibri" w:cs="Calibri"/>
        </w:rPr>
        <w:t>Reglamenta a:</w:t>
      </w:r>
      <w:r w:rsidRPr="00CD181C">
        <w:rPr>
          <w:rFonts w:ascii="Calibri" w:hAnsi="Calibri" w:cs="Calibri"/>
        </w:rPr>
        <w:br/>
        <w:t xml:space="preserve">Ley </w:t>
      </w:r>
      <w:proofErr w:type="spellStart"/>
      <w:r w:rsidRPr="00CD181C">
        <w:rPr>
          <w:rFonts w:ascii="Calibri" w:hAnsi="Calibri" w:cs="Calibri"/>
        </w:rPr>
        <w:t>N°</w:t>
      </w:r>
      <w:proofErr w:type="spellEnd"/>
      <w:r w:rsidRPr="00CD181C">
        <w:rPr>
          <w:rFonts w:ascii="Calibri" w:hAnsi="Calibri" w:cs="Calibri"/>
        </w:rPr>
        <w:t xml:space="preserve"> 6.380/19 Artículo 15° </w:t>
      </w:r>
      <w:proofErr w:type="spellStart"/>
      <w:r w:rsidRPr="00CD181C">
        <w:rPr>
          <w:rFonts w:ascii="Calibri" w:hAnsi="Calibri" w:cs="Calibri"/>
        </w:rPr>
        <w:t>num</w:t>
      </w:r>
      <w:proofErr w:type="spellEnd"/>
      <w:r w:rsidRPr="00CD181C">
        <w:rPr>
          <w:rFonts w:ascii="Calibri" w:hAnsi="Calibri" w:cs="Calibri"/>
        </w:rPr>
        <w:t>. 20.</w:t>
      </w:r>
    </w:p>
    <w:p w14:paraId="036BE434" w14:textId="77777777" w:rsidR="00CD181C" w:rsidRPr="00CD181C" w:rsidRDefault="00CD181C" w:rsidP="009F67FB">
      <w:pPr>
        <w:jc w:val="both"/>
        <w:rPr>
          <w:rFonts w:ascii="Calibri" w:hAnsi="Calibri" w:cs="Calibri"/>
        </w:rPr>
      </w:pPr>
    </w:p>
    <w:p w14:paraId="0FCC77AF" w14:textId="259E6C0E" w:rsidR="00621474" w:rsidRDefault="00621474" w:rsidP="0009507C">
      <w:pPr>
        <w:pStyle w:val="Ttulo2"/>
      </w:pPr>
      <w:bookmarkStart w:id="34" w:name="_Toc184048047"/>
      <w:r>
        <w:t>PREGUNTAS FRECUENTES</w:t>
      </w:r>
      <w:bookmarkEnd w:id="34"/>
    </w:p>
    <w:p w14:paraId="65288779" w14:textId="77777777" w:rsidR="002E0EEA" w:rsidRDefault="002E0EEA" w:rsidP="002E0EEA">
      <w:pPr>
        <w:pStyle w:val="Prrafodelista"/>
        <w:jc w:val="both"/>
        <w:rPr>
          <w:rFonts w:ascii="Calibri" w:hAnsi="Calibri" w:cs="Calibri"/>
        </w:rPr>
      </w:pPr>
    </w:p>
    <w:p w14:paraId="39643A62" w14:textId="4846F4C2" w:rsidR="00621474" w:rsidRDefault="00621474" w:rsidP="0064624C">
      <w:pPr>
        <w:pStyle w:val="Prrafodelista"/>
        <w:numPr>
          <w:ilvl w:val="0"/>
          <w:numId w:val="5"/>
        </w:numPr>
        <w:jc w:val="both"/>
        <w:rPr>
          <w:rFonts w:ascii="Calibri" w:hAnsi="Calibri" w:cs="Calibri"/>
        </w:rPr>
      </w:pPr>
      <w:r w:rsidRPr="0064624C">
        <w:rPr>
          <w:rFonts w:ascii="Calibri" w:hAnsi="Calibri" w:cs="Calibri"/>
        </w:rPr>
        <w:t>Cuáles son los numerales del artículo 15 que tienen límite de deducibilidad?</w:t>
      </w:r>
    </w:p>
    <w:p w14:paraId="7C293527" w14:textId="3DAB3457" w:rsidR="0064624C" w:rsidRDefault="0064624C" w:rsidP="0064624C">
      <w:pPr>
        <w:jc w:val="both"/>
        <w:rPr>
          <w:rFonts w:ascii="Calibri" w:hAnsi="Calibri" w:cs="Calibri"/>
        </w:rPr>
      </w:pPr>
      <w:r>
        <w:rPr>
          <w:rFonts w:ascii="Calibri" w:hAnsi="Calibri" w:cs="Calibri"/>
        </w:rPr>
        <w:t>Los numerales que tienen límite de deducibilidad son:</w:t>
      </w:r>
    </w:p>
    <w:p w14:paraId="11149C56" w14:textId="700D97B0" w:rsidR="0064624C" w:rsidRPr="0064624C" w:rsidRDefault="0064624C" w:rsidP="00AC366D">
      <w:pPr>
        <w:pStyle w:val="Prrafodelista"/>
        <w:numPr>
          <w:ilvl w:val="0"/>
          <w:numId w:val="7"/>
        </w:numPr>
        <w:ind w:left="993"/>
        <w:jc w:val="both"/>
        <w:rPr>
          <w:rFonts w:ascii="Calibri" w:hAnsi="Calibri" w:cs="Calibri"/>
        </w:rPr>
      </w:pPr>
      <w:r w:rsidRPr="0064624C">
        <w:rPr>
          <w:rFonts w:ascii="Calibri" w:hAnsi="Calibri" w:cs="Calibri"/>
        </w:rPr>
        <w:t>N</w:t>
      </w:r>
      <w:r w:rsidR="00B1711B">
        <w:rPr>
          <w:rFonts w:ascii="Calibri" w:hAnsi="Calibri" w:cs="Calibri"/>
        </w:rPr>
        <w:t>ume</w:t>
      </w:r>
      <w:r>
        <w:rPr>
          <w:rFonts w:ascii="Calibri" w:hAnsi="Calibri" w:cs="Calibri"/>
        </w:rPr>
        <w:t>ral</w:t>
      </w:r>
      <w:r w:rsidR="00B1711B">
        <w:rPr>
          <w:rFonts w:ascii="Calibri" w:hAnsi="Calibri" w:cs="Calibri"/>
        </w:rPr>
        <w:t xml:space="preserve">. </w:t>
      </w:r>
      <w:r w:rsidRPr="0064624C">
        <w:rPr>
          <w:rFonts w:ascii="Calibri" w:hAnsi="Calibri" w:cs="Calibri"/>
        </w:rPr>
        <w:t xml:space="preserve">7 Remuneraciones por servicios personales </w:t>
      </w:r>
      <w:r w:rsidRPr="001855AC">
        <w:rPr>
          <w:rFonts w:ascii="Calibri" w:hAnsi="Calibri" w:cs="Calibri"/>
          <w:b/>
          <w:bCs/>
        </w:rPr>
        <w:t>cuando no sea</w:t>
      </w:r>
      <w:r w:rsidRPr="0064624C">
        <w:rPr>
          <w:rFonts w:ascii="Calibri" w:hAnsi="Calibri" w:cs="Calibri"/>
        </w:rPr>
        <w:t xml:space="preserve"> contribuyente de IRP</w:t>
      </w:r>
      <w:r w:rsidR="00B1711B">
        <w:rPr>
          <w:rFonts w:ascii="Calibri" w:hAnsi="Calibri" w:cs="Calibri"/>
        </w:rPr>
        <w:t>.</w:t>
      </w:r>
    </w:p>
    <w:p w14:paraId="5EBE4052" w14:textId="54813452" w:rsidR="0064624C" w:rsidRPr="0064624C" w:rsidRDefault="0064624C" w:rsidP="00AC366D">
      <w:pPr>
        <w:pStyle w:val="Prrafodelista"/>
        <w:numPr>
          <w:ilvl w:val="0"/>
          <w:numId w:val="7"/>
        </w:numPr>
        <w:ind w:left="993"/>
        <w:jc w:val="both"/>
        <w:rPr>
          <w:rFonts w:ascii="Calibri" w:hAnsi="Calibri" w:cs="Calibri"/>
        </w:rPr>
      </w:pPr>
      <w:r w:rsidRPr="0064624C">
        <w:rPr>
          <w:rFonts w:ascii="Calibri" w:hAnsi="Calibri" w:cs="Calibri"/>
        </w:rPr>
        <w:t>N</w:t>
      </w:r>
      <w:r w:rsidR="00B1711B">
        <w:rPr>
          <w:rFonts w:ascii="Calibri" w:hAnsi="Calibri" w:cs="Calibri"/>
        </w:rPr>
        <w:t>ume</w:t>
      </w:r>
      <w:r>
        <w:rPr>
          <w:rFonts w:ascii="Calibri" w:hAnsi="Calibri" w:cs="Calibri"/>
        </w:rPr>
        <w:t>ral.</w:t>
      </w:r>
      <w:r w:rsidRPr="0064624C">
        <w:rPr>
          <w:rFonts w:ascii="Calibri" w:hAnsi="Calibri" w:cs="Calibri"/>
        </w:rPr>
        <w:t xml:space="preserve"> 8 Remuneración porcentual servicios personales </w:t>
      </w:r>
      <w:r w:rsidRPr="001855AC">
        <w:rPr>
          <w:rFonts w:ascii="Calibri" w:hAnsi="Calibri" w:cs="Calibri"/>
          <w:b/>
          <w:bCs/>
        </w:rPr>
        <w:t>que no sean</w:t>
      </w:r>
      <w:r w:rsidRPr="0064624C">
        <w:rPr>
          <w:rFonts w:ascii="Calibri" w:hAnsi="Calibri" w:cs="Calibri"/>
        </w:rPr>
        <w:t xml:space="preserve"> contribuyentes del IRP</w:t>
      </w:r>
      <w:r w:rsidR="00B1711B">
        <w:rPr>
          <w:rFonts w:ascii="Calibri" w:hAnsi="Calibri" w:cs="Calibri"/>
        </w:rPr>
        <w:t>.</w:t>
      </w:r>
    </w:p>
    <w:p w14:paraId="43B662A7" w14:textId="7BC11D0E" w:rsidR="0064624C" w:rsidRPr="0064624C" w:rsidRDefault="0064624C" w:rsidP="00AC366D">
      <w:pPr>
        <w:pStyle w:val="Prrafodelista"/>
        <w:numPr>
          <w:ilvl w:val="0"/>
          <w:numId w:val="7"/>
        </w:numPr>
        <w:ind w:left="993"/>
        <w:jc w:val="both"/>
        <w:rPr>
          <w:rFonts w:ascii="Calibri" w:hAnsi="Calibri" w:cs="Calibri"/>
        </w:rPr>
      </w:pPr>
      <w:r w:rsidRPr="0064624C">
        <w:rPr>
          <w:rFonts w:ascii="Calibri" w:hAnsi="Calibri" w:cs="Calibri"/>
        </w:rPr>
        <w:t>N</w:t>
      </w:r>
      <w:r w:rsidR="00B1711B">
        <w:rPr>
          <w:rFonts w:ascii="Calibri" w:hAnsi="Calibri" w:cs="Calibri"/>
        </w:rPr>
        <w:t>ume</w:t>
      </w:r>
      <w:r>
        <w:rPr>
          <w:rFonts w:ascii="Calibri" w:hAnsi="Calibri" w:cs="Calibri"/>
        </w:rPr>
        <w:t>ral.</w:t>
      </w:r>
      <w:r w:rsidRPr="0064624C">
        <w:rPr>
          <w:rFonts w:ascii="Calibri" w:hAnsi="Calibri" w:cs="Calibri"/>
        </w:rPr>
        <w:t xml:space="preserve"> 20 Las donaciones</w:t>
      </w:r>
      <w:r w:rsidR="00B1711B">
        <w:rPr>
          <w:rFonts w:ascii="Calibri" w:hAnsi="Calibri" w:cs="Calibri"/>
        </w:rPr>
        <w:t>.</w:t>
      </w:r>
    </w:p>
    <w:p w14:paraId="46F38AD7" w14:textId="3A84982C" w:rsidR="0064624C" w:rsidRPr="0064624C" w:rsidRDefault="0064624C" w:rsidP="00AC366D">
      <w:pPr>
        <w:pStyle w:val="Prrafodelista"/>
        <w:numPr>
          <w:ilvl w:val="0"/>
          <w:numId w:val="7"/>
        </w:numPr>
        <w:ind w:left="993"/>
        <w:jc w:val="both"/>
        <w:rPr>
          <w:rFonts w:ascii="Calibri" w:hAnsi="Calibri" w:cs="Calibri"/>
        </w:rPr>
      </w:pPr>
      <w:r w:rsidRPr="0064624C">
        <w:rPr>
          <w:rFonts w:ascii="Calibri" w:hAnsi="Calibri" w:cs="Calibri"/>
        </w:rPr>
        <w:t>N</w:t>
      </w:r>
      <w:r w:rsidR="00B1711B">
        <w:rPr>
          <w:rFonts w:ascii="Calibri" w:hAnsi="Calibri" w:cs="Calibri"/>
        </w:rPr>
        <w:t>ume</w:t>
      </w:r>
      <w:r w:rsidR="001855AC">
        <w:rPr>
          <w:rFonts w:ascii="Calibri" w:hAnsi="Calibri" w:cs="Calibri"/>
        </w:rPr>
        <w:t>ral.</w:t>
      </w:r>
      <w:r w:rsidRPr="0064624C">
        <w:rPr>
          <w:rFonts w:ascii="Calibri" w:hAnsi="Calibri" w:cs="Calibri"/>
        </w:rPr>
        <w:t xml:space="preserve"> 21 Los gastos a favor del personal</w:t>
      </w:r>
      <w:r w:rsidR="00B1711B">
        <w:rPr>
          <w:rFonts w:ascii="Calibri" w:hAnsi="Calibri" w:cs="Calibri"/>
        </w:rPr>
        <w:t>.</w:t>
      </w:r>
    </w:p>
    <w:p w14:paraId="082242B6" w14:textId="0BCEB404" w:rsidR="0064624C" w:rsidRPr="0064624C" w:rsidRDefault="0064624C" w:rsidP="00AC366D">
      <w:pPr>
        <w:pStyle w:val="Prrafodelista"/>
        <w:numPr>
          <w:ilvl w:val="0"/>
          <w:numId w:val="7"/>
        </w:numPr>
        <w:ind w:left="993"/>
        <w:jc w:val="both"/>
        <w:rPr>
          <w:rFonts w:ascii="Calibri" w:hAnsi="Calibri" w:cs="Calibri"/>
        </w:rPr>
      </w:pPr>
      <w:r w:rsidRPr="0064624C">
        <w:rPr>
          <w:rFonts w:ascii="Calibri" w:hAnsi="Calibri" w:cs="Calibri"/>
        </w:rPr>
        <w:t>N</w:t>
      </w:r>
      <w:r w:rsidR="00B1711B">
        <w:rPr>
          <w:rFonts w:ascii="Calibri" w:hAnsi="Calibri" w:cs="Calibri"/>
        </w:rPr>
        <w:t>ume</w:t>
      </w:r>
      <w:r w:rsidR="001855AC">
        <w:rPr>
          <w:rFonts w:ascii="Calibri" w:hAnsi="Calibri" w:cs="Calibri"/>
        </w:rPr>
        <w:t>ral.</w:t>
      </w:r>
      <w:r w:rsidRPr="0064624C">
        <w:rPr>
          <w:rFonts w:ascii="Calibri" w:hAnsi="Calibri" w:cs="Calibri"/>
        </w:rPr>
        <w:t xml:space="preserve"> 22 Erogaciones en fincas colindantes</w:t>
      </w:r>
      <w:r w:rsidR="00B1711B">
        <w:rPr>
          <w:rFonts w:ascii="Calibri" w:hAnsi="Calibri" w:cs="Calibri"/>
        </w:rPr>
        <w:t>.</w:t>
      </w:r>
    </w:p>
    <w:p w14:paraId="2565E31C" w14:textId="77777777" w:rsidR="0064624C" w:rsidRDefault="0064624C" w:rsidP="00AC366D">
      <w:pPr>
        <w:pStyle w:val="Prrafodelista"/>
        <w:numPr>
          <w:ilvl w:val="0"/>
          <w:numId w:val="7"/>
        </w:numPr>
        <w:ind w:left="993"/>
        <w:jc w:val="both"/>
        <w:rPr>
          <w:rFonts w:ascii="Calibri" w:hAnsi="Calibri" w:cs="Calibri"/>
        </w:rPr>
      </w:pPr>
      <w:r w:rsidRPr="0064624C">
        <w:rPr>
          <w:rFonts w:ascii="Calibri" w:hAnsi="Calibri" w:cs="Calibri"/>
        </w:rPr>
        <w:t>Cuando el Dueño, socio o accionista cuando reciba una remuneración en su calidad de personal superior “Independientemente a que sea contribuyente de IRP”</w:t>
      </w:r>
    </w:p>
    <w:p w14:paraId="4E31C7B3" w14:textId="4B4E52F2" w:rsidR="001855AC" w:rsidRDefault="001855AC" w:rsidP="00AC366D">
      <w:pPr>
        <w:pStyle w:val="Prrafodelista"/>
        <w:numPr>
          <w:ilvl w:val="0"/>
          <w:numId w:val="7"/>
        </w:numPr>
        <w:ind w:left="993"/>
        <w:jc w:val="both"/>
        <w:rPr>
          <w:rFonts w:ascii="Calibri" w:hAnsi="Calibri" w:cs="Calibri"/>
        </w:rPr>
      </w:pPr>
      <w:r>
        <w:rPr>
          <w:rFonts w:ascii="Calibri" w:hAnsi="Calibri" w:cs="Calibri"/>
        </w:rPr>
        <w:t xml:space="preserve">Compra de bienes o servicios comerciales del contribuyente IRE </w:t>
      </w:r>
      <w:proofErr w:type="spellStart"/>
      <w:r>
        <w:rPr>
          <w:rFonts w:ascii="Calibri" w:hAnsi="Calibri" w:cs="Calibri"/>
        </w:rPr>
        <w:t>Resimple</w:t>
      </w:r>
      <w:proofErr w:type="spellEnd"/>
      <w:r>
        <w:rPr>
          <w:rFonts w:ascii="Calibri" w:hAnsi="Calibri" w:cs="Calibri"/>
        </w:rPr>
        <w:t>.</w:t>
      </w:r>
    </w:p>
    <w:p w14:paraId="5BB34324" w14:textId="77777777" w:rsidR="00B1711B" w:rsidRPr="0064624C" w:rsidRDefault="00B1711B" w:rsidP="00B1711B">
      <w:pPr>
        <w:pStyle w:val="Prrafodelista"/>
        <w:ind w:left="993"/>
        <w:jc w:val="both"/>
        <w:rPr>
          <w:rFonts w:ascii="Calibri" w:hAnsi="Calibri" w:cs="Calibri"/>
        </w:rPr>
      </w:pPr>
    </w:p>
    <w:p w14:paraId="681D02D3" w14:textId="0CB32EBC" w:rsidR="00621474" w:rsidRPr="0064624C" w:rsidRDefault="004A031A" w:rsidP="0064624C">
      <w:pPr>
        <w:pStyle w:val="Prrafodelista"/>
        <w:numPr>
          <w:ilvl w:val="0"/>
          <w:numId w:val="5"/>
        </w:numPr>
        <w:jc w:val="both"/>
        <w:rPr>
          <w:rFonts w:ascii="Calibri" w:hAnsi="Calibri" w:cs="Calibri"/>
        </w:rPr>
      </w:pPr>
      <w:r w:rsidRPr="0064624C">
        <w:rPr>
          <w:rFonts w:ascii="Calibri" w:hAnsi="Calibri" w:cs="Calibri"/>
        </w:rPr>
        <w:t>Cuáles</w:t>
      </w:r>
      <w:r w:rsidR="00621474" w:rsidRPr="0064624C">
        <w:rPr>
          <w:rFonts w:ascii="Calibri" w:hAnsi="Calibri" w:cs="Calibri"/>
        </w:rPr>
        <w:t xml:space="preserve"> son los numerales del artículo 15 que no tienen limitación de deducibilidad?</w:t>
      </w:r>
    </w:p>
    <w:p w14:paraId="346F3ED9" w14:textId="04286991" w:rsidR="00621474" w:rsidRDefault="00FD3A26" w:rsidP="00AC366D">
      <w:pPr>
        <w:pStyle w:val="Prrafodelista"/>
        <w:numPr>
          <w:ilvl w:val="0"/>
          <w:numId w:val="8"/>
        </w:numPr>
        <w:ind w:left="1134"/>
        <w:jc w:val="both"/>
        <w:rPr>
          <w:rFonts w:ascii="Calibri" w:hAnsi="Calibri" w:cs="Calibri"/>
        </w:rPr>
      </w:pPr>
      <w:r>
        <w:rPr>
          <w:rFonts w:ascii="Calibri" w:hAnsi="Calibri" w:cs="Calibri"/>
        </w:rPr>
        <w:t>Numeral 1</w:t>
      </w:r>
      <w:r w:rsidR="00AC366D">
        <w:rPr>
          <w:rFonts w:ascii="Calibri" w:hAnsi="Calibri" w:cs="Calibri"/>
        </w:rPr>
        <w:t xml:space="preserve"> - </w:t>
      </w:r>
    </w:p>
    <w:p w14:paraId="5736B20D" w14:textId="344D9437" w:rsidR="00FD3A26" w:rsidRDefault="00FD3A26" w:rsidP="00AC366D">
      <w:pPr>
        <w:pStyle w:val="Prrafodelista"/>
        <w:numPr>
          <w:ilvl w:val="0"/>
          <w:numId w:val="8"/>
        </w:numPr>
        <w:ind w:left="1134"/>
        <w:jc w:val="both"/>
        <w:rPr>
          <w:rFonts w:ascii="Calibri" w:hAnsi="Calibri" w:cs="Calibri"/>
        </w:rPr>
      </w:pPr>
      <w:r>
        <w:rPr>
          <w:rFonts w:ascii="Calibri" w:hAnsi="Calibri" w:cs="Calibri"/>
        </w:rPr>
        <w:t>Numeral 2</w:t>
      </w:r>
    </w:p>
    <w:p w14:paraId="0E34F4F3" w14:textId="2C9A3DB2" w:rsidR="00FD3A26" w:rsidRDefault="00FD3A26" w:rsidP="00AC366D">
      <w:pPr>
        <w:pStyle w:val="Prrafodelista"/>
        <w:numPr>
          <w:ilvl w:val="0"/>
          <w:numId w:val="8"/>
        </w:numPr>
        <w:ind w:left="1134"/>
        <w:jc w:val="both"/>
        <w:rPr>
          <w:rFonts w:ascii="Calibri" w:hAnsi="Calibri" w:cs="Calibri"/>
        </w:rPr>
      </w:pPr>
      <w:r>
        <w:rPr>
          <w:rFonts w:ascii="Calibri" w:hAnsi="Calibri" w:cs="Calibri"/>
        </w:rPr>
        <w:t>Numeral 3</w:t>
      </w:r>
    </w:p>
    <w:p w14:paraId="17D0A2C2" w14:textId="38A61189" w:rsidR="00FD3A26" w:rsidRDefault="00FD3A26" w:rsidP="00AC366D">
      <w:pPr>
        <w:pStyle w:val="Prrafodelista"/>
        <w:numPr>
          <w:ilvl w:val="0"/>
          <w:numId w:val="8"/>
        </w:numPr>
        <w:ind w:left="1134"/>
        <w:jc w:val="both"/>
        <w:rPr>
          <w:rFonts w:ascii="Calibri" w:hAnsi="Calibri" w:cs="Calibri"/>
        </w:rPr>
      </w:pPr>
      <w:r>
        <w:rPr>
          <w:rFonts w:ascii="Calibri" w:hAnsi="Calibri" w:cs="Calibri"/>
        </w:rPr>
        <w:t>Numeral 4</w:t>
      </w:r>
    </w:p>
    <w:p w14:paraId="3262A330" w14:textId="2BBDC953" w:rsidR="00FD3A26" w:rsidRDefault="00FD3A26" w:rsidP="00AC366D">
      <w:pPr>
        <w:pStyle w:val="Prrafodelista"/>
        <w:numPr>
          <w:ilvl w:val="0"/>
          <w:numId w:val="8"/>
        </w:numPr>
        <w:ind w:left="1134"/>
        <w:jc w:val="both"/>
        <w:rPr>
          <w:rFonts w:ascii="Calibri" w:hAnsi="Calibri" w:cs="Calibri"/>
        </w:rPr>
      </w:pPr>
      <w:r>
        <w:rPr>
          <w:rFonts w:ascii="Calibri" w:hAnsi="Calibri" w:cs="Calibri"/>
        </w:rPr>
        <w:t>Numeral 5</w:t>
      </w:r>
    </w:p>
    <w:p w14:paraId="305DF8F7" w14:textId="1D5A6D00" w:rsidR="00FD3A26" w:rsidRDefault="00FD3A26" w:rsidP="00AC366D">
      <w:pPr>
        <w:pStyle w:val="Prrafodelista"/>
        <w:numPr>
          <w:ilvl w:val="0"/>
          <w:numId w:val="8"/>
        </w:numPr>
        <w:ind w:left="1134"/>
        <w:jc w:val="both"/>
        <w:rPr>
          <w:rFonts w:ascii="Calibri" w:hAnsi="Calibri" w:cs="Calibri"/>
        </w:rPr>
      </w:pPr>
      <w:r>
        <w:rPr>
          <w:rFonts w:ascii="Calibri" w:hAnsi="Calibri" w:cs="Calibri"/>
        </w:rPr>
        <w:t>Numeral 6</w:t>
      </w:r>
    </w:p>
    <w:p w14:paraId="31144F19" w14:textId="4D1B9163" w:rsidR="00FD3A26" w:rsidRDefault="00FD3A26" w:rsidP="00AC366D">
      <w:pPr>
        <w:pStyle w:val="Prrafodelista"/>
        <w:numPr>
          <w:ilvl w:val="0"/>
          <w:numId w:val="8"/>
        </w:numPr>
        <w:ind w:left="1134"/>
        <w:jc w:val="both"/>
        <w:rPr>
          <w:rFonts w:ascii="Calibri" w:hAnsi="Calibri" w:cs="Calibri"/>
        </w:rPr>
      </w:pPr>
      <w:r>
        <w:rPr>
          <w:rFonts w:ascii="Calibri" w:hAnsi="Calibri" w:cs="Calibri"/>
        </w:rPr>
        <w:t>Numeral 9</w:t>
      </w:r>
    </w:p>
    <w:p w14:paraId="57F4F3F8" w14:textId="4BAD84E7" w:rsidR="00CE27BE" w:rsidRDefault="001F39BD" w:rsidP="00AC366D">
      <w:pPr>
        <w:pStyle w:val="Prrafodelista"/>
        <w:numPr>
          <w:ilvl w:val="0"/>
          <w:numId w:val="8"/>
        </w:numPr>
        <w:ind w:left="1134"/>
        <w:jc w:val="both"/>
        <w:rPr>
          <w:rFonts w:ascii="Calibri" w:hAnsi="Calibri" w:cs="Calibri"/>
        </w:rPr>
      </w:pPr>
      <w:r w:rsidRPr="001F39BD">
        <w:rPr>
          <w:rFonts w:ascii="Calibri" w:hAnsi="Calibri" w:cs="Calibri"/>
        </w:rPr>
        <w:t xml:space="preserve">Numeral </w:t>
      </w:r>
      <w:r>
        <w:rPr>
          <w:rFonts w:ascii="Calibri" w:hAnsi="Calibri" w:cs="Calibri"/>
        </w:rPr>
        <w:t>10</w:t>
      </w:r>
    </w:p>
    <w:p w14:paraId="06FF7775" w14:textId="0F4D5170" w:rsidR="001F39BD" w:rsidRDefault="001F39BD" w:rsidP="00AC366D">
      <w:pPr>
        <w:pStyle w:val="Prrafodelista"/>
        <w:numPr>
          <w:ilvl w:val="0"/>
          <w:numId w:val="8"/>
        </w:numPr>
        <w:ind w:left="1134"/>
        <w:jc w:val="both"/>
        <w:rPr>
          <w:rFonts w:ascii="Calibri" w:hAnsi="Calibri" w:cs="Calibri"/>
        </w:rPr>
      </w:pPr>
      <w:r>
        <w:rPr>
          <w:rFonts w:ascii="Calibri" w:hAnsi="Calibri" w:cs="Calibri"/>
        </w:rPr>
        <w:t>Numeral 11</w:t>
      </w:r>
    </w:p>
    <w:p w14:paraId="5EF487EF" w14:textId="5D1B6825" w:rsidR="001F39BD" w:rsidRDefault="001F39BD" w:rsidP="00AC366D">
      <w:pPr>
        <w:pStyle w:val="Prrafodelista"/>
        <w:numPr>
          <w:ilvl w:val="0"/>
          <w:numId w:val="8"/>
        </w:numPr>
        <w:ind w:left="1134"/>
        <w:jc w:val="both"/>
        <w:rPr>
          <w:rFonts w:ascii="Calibri" w:hAnsi="Calibri" w:cs="Calibri"/>
        </w:rPr>
      </w:pPr>
      <w:r>
        <w:rPr>
          <w:rFonts w:ascii="Calibri" w:hAnsi="Calibri" w:cs="Calibri"/>
        </w:rPr>
        <w:t>Numeral 12</w:t>
      </w:r>
    </w:p>
    <w:p w14:paraId="1E2745C2" w14:textId="5F85FB02" w:rsidR="001F39BD" w:rsidRDefault="001F39BD" w:rsidP="00AC366D">
      <w:pPr>
        <w:pStyle w:val="Prrafodelista"/>
        <w:numPr>
          <w:ilvl w:val="0"/>
          <w:numId w:val="8"/>
        </w:numPr>
        <w:ind w:left="1134"/>
        <w:jc w:val="both"/>
        <w:rPr>
          <w:rFonts w:ascii="Calibri" w:hAnsi="Calibri" w:cs="Calibri"/>
        </w:rPr>
      </w:pPr>
      <w:r>
        <w:rPr>
          <w:rFonts w:ascii="Calibri" w:hAnsi="Calibri" w:cs="Calibri"/>
        </w:rPr>
        <w:t>Numeral 13</w:t>
      </w:r>
    </w:p>
    <w:p w14:paraId="580ED545" w14:textId="117A3267" w:rsidR="00203426" w:rsidRDefault="00203426" w:rsidP="00AC366D">
      <w:pPr>
        <w:pStyle w:val="Prrafodelista"/>
        <w:numPr>
          <w:ilvl w:val="0"/>
          <w:numId w:val="8"/>
        </w:numPr>
        <w:ind w:left="1134"/>
        <w:jc w:val="both"/>
        <w:rPr>
          <w:rFonts w:ascii="Calibri" w:hAnsi="Calibri" w:cs="Calibri"/>
        </w:rPr>
      </w:pPr>
      <w:r>
        <w:rPr>
          <w:rFonts w:ascii="Calibri" w:hAnsi="Calibri" w:cs="Calibri"/>
        </w:rPr>
        <w:t>Numeral 14</w:t>
      </w:r>
    </w:p>
    <w:p w14:paraId="5F62DDF5" w14:textId="1E0BF4C4" w:rsidR="00203426" w:rsidRDefault="00203426" w:rsidP="00AC366D">
      <w:pPr>
        <w:pStyle w:val="Prrafodelista"/>
        <w:numPr>
          <w:ilvl w:val="0"/>
          <w:numId w:val="8"/>
        </w:numPr>
        <w:ind w:left="1134"/>
        <w:jc w:val="both"/>
        <w:rPr>
          <w:rFonts w:ascii="Calibri" w:hAnsi="Calibri" w:cs="Calibri"/>
        </w:rPr>
      </w:pPr>
      <w:r>
        <w:rPr>
          <w:rFonts w:ascii="Calibri" w:hAnsi="Calibri" w:cs="Calibri"/>
        </w:rPr>
        <w:t>Numeral 15</w:t>
      </w:r>
    </w:p>
    <w:p w14:paraId="2F7C790E" w14:textId="26B659A3" w:rsidR="00203426" w:rsidRDefault="00203426" w:rsidP="00AC366D">
      <w:pPr>
        <w:pStyle w:val="Prrafodelista"/>
        <w:numPr>
          <w:ilvl w:val="0"/>
          <w:numId w:val="8"/>
        </w:numPr>
        <w:ind w:left="1134"/>
        <w:jc w:val="both"/>
        <w:rPr>
          <w:rFonts w:ascii="Calibri" w:hAnsi="Calibri" w:cs="Calibri"/>
        </w:rPr>
      </w:pPr>
      <w:r>
        <w:rPr>
          <w:rFonts w:ascii="Calibri" w:hAnsi="Calibri" w:cs="Calibri"/>
        </w:rPr>
        <w:lastRenderedPageBreak/>
        <w:t>Numeral 16</w:t>
      </w:r>
    </w:p>
    <w:p w14:paraId="67CEA741" w14:textId="23503CB6" w:rsidR="00203426" w:rsidRDefault="00203426" w:rsidP="00AC366D">
      <w:pPr>
        <w:pStyle w:val="Prrafodelista"/>
        <w:numPr>
          <w:ilvl w:val="0"/>
          <w:numId w:val="8"/>
        </w:numPr>
        <w:ind w:left="1134"/>
        <w:jc w:val="both"/>
        <w:rPr>
          <w:rFonts w:ascii="Calibri" w:hAnsi="Calibri" w:cs="Calibri"/>
        </w:rPr>
      </w:pPr>
      <w:r>
        <w:rPr>
          <w:rFonts w:ascii="Calibri" w:hAnsi="Calibri" w:cs="Calibri"/>
        </w:rPr>
        <w:t>Numeral 17</w:t>
      </w:r>
    </w:p>
    <w:p w14:paraId="25D27CE3" w14:textId="3615DD9D" w:rsidR="00203426" w:rsidRDefault="00203426" w:rsidP="00AC366D">
      <w:pPr>
        <w:pStyle w:val="Prrafodelista"/>
        <w:numPr>
          <w:ilvl w:val="0"/>
          <w:numId w:val="8"/>
        </w:numPr>
        <w:ind w:left="1134"/>
        <w:jc w:val="both"/>
        <w:rPr>
          <w:rFonts w:ascii="Calibri" w:hAnsi="Calibri" w:cs="Calibri"/>
        </w:rPr>
      </w:pPr>
      <w:r>
        <w:rPr>
          <w:rFonts w:ascii="Calibri" w:hAnsi="Calibri" w:cs="Calibri"/>
        </w:rPr>
        <w:t>Numeral 18</w:t>
      </w:r>
    </w:p>
    <w:p w14:paraId="585571F3" w14:textId="0B7CF2AA" w:rsidR="00203426" w:rsidRDefault="00203426" w:rsidP="00AC366D">
      <w:pPr>
        <w:pStyle w:val="Prrafodelista"/>
        <w:numPr>
          <w:ilvl w:val="0"/>
          <w:numId w:val="8"/>
        </w:numPr>
        <w:ind w:left="1134"/>
        <w:jc w:val="both"/>
        <w:rPr>
          <w:rFonts w:ascii="Calibri" w:hAnsi="Calibri" w:cs="Calibri"/>
        </w:rPr>
      </w:pPr>
      <w:r>
        <w:rPr>
          <w:rFonts w:ascii="Calibri" w:hAnsi="Calibri" w:cs="Calibri"/>
        </w:rPr>
        <w:t>Numeral 19</w:t>
      </w:r>
    </w:p>
    <w:p w14:paraId="36ABA31F" w14:textId="77777777" w:rsidR="00263AD7" w:rsidRDefault="00263AD7" w:rsidP="00263AD7">
      <w:pPr>
        <w:jc w:val="both"/>
        <w:rPr>
          <w:rFonts w:ascii="Calibri" w:hAnsi="Calibri" w:cs="Calibri"/>
        </w:rPr>
      </w:pPr>
    </w:p>
    <w:p w14:paraId="40540DDA" w14:textId="77777777" w:rsidR="00263AD7" w:rsidRDefault="00263AD7" w:rsidP="00263AD7">
      <w:pPr>
        <w:jc w:val="both"/>
        <w:rPr>
          <w:rFonts w:ascii="Calibri" w:hAnsi="Calibri" w:cs="Calibri"/>
        </w:rPr>
      </w:pPr>
    </w:p>
    <w:p w14:paraId="5D47E6A3" w14:textId="5B72580E" w:rsidR="00263AD7" w:rsidRDefault="00263AD7" w:rsidP="00677DC2">
      <w:pPr>
        <w:pStyle w:val="Ttulo2"/>
      </w:pPr>
      <w:bookmarkStart w:id="35" w:name="_Toc184048048"/>
      <w:r>
        <w:t>EJEMPLO LÍMITES DE DEDUCIBILIDAD</w:t>
      </w:r>
      <w:bookmarkEnd w:id="35"/>
    </w:p>
    <w:p w14:paraId="0906E3BA" w14:textId="7A9D0A8A" w:rsidR="00263AD7" w:rsidRDefault="00677DC2" w:rsidP="00263AD7">
      <w:pPr>
        <w:jc w:val="both"/>
        <w:rPr>
          <w:rFonts w:ascii="Calibri" w:hAnsi="Calibri" w:cs="Calibri"/>
        </w:rPr>
      </w:pPr>
      <w:r w:rsidRPr="00677DC2">
        <w:rPr>
          <w:rFonts w:ascii="Calibri" w:hAnsi="Calibri" w:cs="Calibri"/>
          <w:noProof/>
        </w:rPr>
        <w:drawing>
          <wp:inline distT="0" distB="0" distL="0" distR="0" wp14:anchorId="75AA4DA2" wp14:editId="2B073B90">
            <wp:extent cx="5671185" cy="2626360"/>
            <wp:effectExtent l="0" t="0" r="0" b="2540"/>
            <wp:docPr id="5" name="Imagen 4">
              <a:extLst xmlns:a="http://schemas.openxmlformats.org/drawingml/2006/main">
                <a:ext uri="{FF2B5EF4-FFF2-40B4-BE49-F238E27FC236}">
                  <a16:creationId xmlns:a16="http://schemas.microsoft.com/office/drawing/2014/main" id="{F0DAFCA6-0231-455D-85FC-29F8C38347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F0DAFCA6-0231-455D-85FC-29F8C383470C}"/>
                        </a:ext>
                      </a:extLst>
                    </pic:cNvPr>
                    <pic:cNvPicPr>
                      <a:picLocks noChangeAspect="1"/>
                    </pic:cNvPicPr>
                  </pic:nvPicPr>
                  <pic:blipFill>
                    <a:blip r:embed="rId12"/>
                    <a:stretch>
                      <a:fillRect/>
                    </a:stretch>
                  </pic:blipFill>
                  <pic:spPr>
                    <a:xfrm>
                      <a:off x="0" y="0"/>
                      <a:ext cx="5671185" cy="2626360"/>
                    </a:xfrm>
                    <a:prstGeom prst="rect">
                      <a:avLst/>
                    </a:prstGeom>
                  </pic:spPr>
                </pic:pic>
              </a:graphicData>
            </a:graphic>
          </wp:inline>
        </w:drawing>
      </w:r>
    </w:p>
    <w:p w14:paraId="2EFD99E3" w14:textId="77777777" w:rsidR="004A031A" w:rsidRDefault="004A031A" w:rsidP="004A031A">
      <w:pPr>
        <w:pStyle w:val="Ttulo3"/>
        <w:shd w:val="clear" w:color="auto" w:fill="auto"/>
      </w:pPr>
    </w:p>
    <w:p w14:paraId="5186637C" w14:textId="77777777" w:rsidR="004A031A" w:rsidRDefault="004A031A" w:rsidP="004A031A"/>
    <w:p w14:paraId="39B6028A" w14:textId="77777777" w:rsidR="004A031A" w:rsidRDefault="004A031A" w:rsidP="004A031A"/>
    <w:p w14:paraId="1B6D3A6B" w14:textId="77777777" w:rsidR="004A031A" w:rsidRDefault="004A031A" w:rsidP="004A031A"/>
    <w:p w14:paraId="2EC9F2AE" w14:textId="77777777" w:rsidR="004A031A" w:rsidRDefault="004A031A" w:rsidP="004A031A"/>
    <w:p w14:paraId="219CBF44" w14:textId="77777777" w:rsidR="004A031A" w:rsidRDefault="004A031A" w:rsidP="004A031A"/>
    <w:p w14:paraId="7B61E70E" w14:textId="77777777" w:rsidR="004A031A" w:rsidRDefault="004A031A" w:rsidP="004A031A"/>
    <w:p w14:paraId="2B0FDAF3" w14:textId="77777777" w:rsidR="004A031A" w:rsidRDefault="004A031A" w:rsidP="004A031A"/>
    <w:p w14:paraId="710C6143" w14:textId="77777777" w:rsidR="004A031A" w:rsidRDefault="004A031A" w:rsidP="004A031A"/>
    <w:p w14:paraId="23E12AC7" w14:textId="77777777" w:rsidR="004A031A" w:rsidRDefault="004A031A" w:rsidP="004A031A"/>
    <w:p w14:paraId="0BBE645A" w14:textId="77777777" w:rsidR="004A031A" w:rsidRDefault="004A031A" w:rsidP="004A031A"/>
    <w:p w14:paraId="39F929D0" w14:textId="77777777" w:rsidR="004A031A" w:rsidRPr="004A031A" w:rsidRDefault="004A031A" w:rsidP="004A031A"/>
    <w:p w14:paraId="124400EB" w14:textId="781DEC42" w:rsidR="00263AD7" w:rsidRDefault="00677DC2" w:rsidP="00677DC2">
      <w:pPr>
        <w:pStyle w:val="Ttulo3"/>
      </w:pPr>
      <w:bookmarkStart w:id="36" w:name="_Toc184048049"/>
      <w:r>
        <w:lastRenderedPageBreak/>
        <w:t>LIMITE EN SU CONJUNTO – 1 %</w:t>
      </w:r>
      <w:bookmarkEnd w:id="36"/>
    </w:p>
    <w:tbl>
      <w:tblPr>
        <w:tblpPr w:leftFromText="141" w:rightFromText="141" w:vertAnchor="text" w:horzAnchor="margin" w:tblpY="49"/>
        <w:tblW w:w="0" w:type="auto"/>
        <w:tblCellMar>
          <w:left w:w="0" w:type="dxa"/>
          <w:right w:w="0" w:type="dxa"/>
        </w:tblCellMar>
        <w:tblLook w:val="04A0" w:firstRow="1" w:lastRow="0" w:firstColumn="1" w:lastColumn="0" w:noHBand="0" w:noVBand="1"/>
      </w:tblPr>
      <w:tblGrid>
        <w:gridCol w:w="8068"/>
        <w:gridCol w:w="1126"/>
      </w:tblGrid>
      <w:tr w:rsidR="00677DC2" w:rsidRPr="00677DC2" w14:paraId="7B776423" w14:textId="77777777" w:rsidTr="00677DC2">
        <w:trPr>
          <w:trHeight w:val="67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605FDE88" w14:textId="77777777" w:rsidR="00677DC2" w:rsidRPr="00677DC2" w:rsidRDefault="00677DC2" w:rsidP="00677DC2">
            <w:pPr>
              <w:jc w:val="both"/>
              <w:rPr>
                <w:rFonts w:ascii="Calibri" w:hAnsi="Calibri" w:cs="Calibri"/>
              </w:rPr>
            </w:pPr>
            <w:proofErr w:type="spellStart"/>
            <w:r w:rsidRPr="00677DC2">
              <w:rPr>
                <w:rFonts w:ascii="Calibri" w:hAnsi="Calibri" w:cs="Calibri"/>
              </w:rPr>
              <w:t>N°</w:t>
            </w:r>
            <w:proofErr w:type="spellEnd"/>
            <w:r w:rsidRPr="00677DC2">
              <w:rPr>
                <w:rFonts w:ascii="Calibri" w:hAnsi="Calibri" w:cs="Calibri"/>
              </w:rPr>
              <w:t xml:space="preserve"> 7 Remuneraciones por servicios personales </w:t>
            </w:r>
            <w:r w:rsidRPr="00677DC2">
              <w:rPr>
                <w:rFonts w:ascii="Calibri" w:hAnsi="Calibri" w:cs="Calibri"/>
                <w:b/>
                <w:bCs/>
              </w:rPr>
              <w:t>cuando no sea contribuyente de IRP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58E8F121" w14:textId="77777777" w:rsidR="00677DC2" w:rsidRPr="00677DC2" w:rsidRDefault="00677DC2" w:rsidP="00677DC2">
            <w:pPr>
              <w:jc w:val="right"/>
              <w:rPr>
                <w:rFonts w:ascii="Calibri" w:hAnsi="Calibri" w:cs="Calibri"/>
              </w:rPr>
            </w:pPr>
            <w:r w:rsidRPr="00677DC2">
              <w:rPr>
                <w:rFonts w:ascii="Calibri" w:hAnsi="Calibri" w:cs="Calibri"/>
              </w:rPr>
              <w:t>500.000</w:t>
            </w:r>
          </w:p>
        </w:tc>
      </w:tr>
      <w:tr w:rsidR="00677DC2" w:rsidRPr="00677DC2" w14:paraId="15A9C63B" w14:textId="77777777" w:rsidTr="00677DC2">
        <w:trPr>
          <w:trHeight w:val="75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2E499B29" w14:textId="77777777" w:rsidR="00677DC2" w:rsidRPr="00677DC2" w:rsidRDefault="00677DC2" w:rsidP="00677DC2">
            <w:pPr>
              <w:jc w:val="both"/>
              <w:rPr>
                <w:rFonts w:ascii="Calibri" w:hAnsi="Calibri" w:cs="Calibri"/>
              </w:rPr>
            </w:pPr>
            <w:proofErr w:type="spellStart"/>
            <w:r w:rsidRPr="00677DC2">
              <w:rPr>
                <w:rFonts w:ascii="Calibri" w:hAnsi="Calibri" w:cs="Calibri"/>
              </w:rPr>
              <w:t>N°</w:t>
            </w:r>
            <w:proofErr w:type="spellEnd"/>
            <w:r w:rsidRPr="00677DC2">
              <w:rPr>
                <w:rFonts w:ascii="Calibri" w:hAnsi="Calibri" w:cs="Calibri"/>
              </w:rPr>
              <w:t xml:space="preserve"> 8 Remuneración porcentual servicios personales</w:t>
            </w:r>
            <w:r w:rsidRPr="00677DC2">
              <w:rPr>
                <w:rFonts w:ascii="Calibri" w:hAnsi="Calibri" w:cs="Calibri"/>
                <w:b/>
                <w:bCs/>
              </w:rPr>
              <w:t xml:space="preserve"> “cuando no se encuentren en relación de dependencia, cuando no sea contribuyente de IRP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58D244E4" w14:textId="77777777" w:rsidR="00677DC2" w:rsidRPr="00677DC2" w:rsidRDefault="00677DC2" w:rsidP="00677DC2">
            <w:pPr>
              <w:jc w:val="right"/>
              <w:rPr>
                <w:rFonts w:ascii="Calibri" w:hAnsi="Calibri" w:cs="Calibri"/>
              </w:rPr>
            </w:pPr>
            <w:r w:rsidRPr="00677DC2">
              <w:rPr>
                <w:rFonts w:ascii="Calibri" w:hAnsi="Calibri" w:cs="Calibri"/>
              </w:rPr>
              <w:t>1.000.000</w:t>
            </w:r>
          </w:p>
        </w:tc>
      </w:tr>
      <w:tr w:rsidR="00677DC2" w:rsidRPr="00677DC2" w14:paraId="68A923A3" w14:textId="77777777" w:rsidTr="00677DC2">
        <w:trPr>
          <w:trHeight w:val="75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2D269263" w14:textId="77777777" w:rsidR="00677DC2" w:rsidRPr="00677DC2" w:rsidRDefault="00677DC2" w:rsidP="00677DC2">
            <w:pPr>
              <w:jc w:val="both"/>
              <w:rPr>
                <w:rFonts w:ascii="Calibri" w:hAnsi="Calibri" w:cs="Calibri"/>
              </w:rPr>
            </w:pPr>
            <w:proofErr w:type="spellStart"/>
            <w:r w:rsidRPr="00677DC2">
              <w:rPr>
                <w:rFonts w:ascii="Calibri" w:hAnsi="Calibri" w:cs="Calibri"/>
              </w:rPr>
              <w:t>N°</w:t>
            </w:r>
            <w:proofErr w:type="spellEnd"/>
            <w:r w:rsidRPr="00677DC2">
              <w:rPr>
                <w:rFonts w:ascii="Calibri" w:hAnsi="Calibri" w:cs="Calibri"/>
              </w:rPr>
              <w:t xml:space="preserve"> 20 Las donaciones “siempre que cumplan con lo dispuesto al decreto 3182/19 – será deducible hasta el 1% en su conjunto”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3BCAA859" w14:textId="77777777" w:rsidR="00677DC2" w:rsidRPr="00677DC2" w:rsidRDefault="00677DC2" w:rsidP="00677DC2">
            <w:pPr>
              <w:jc w:val="right"/>
              <w:rPr>
                <w:rFonts w:ascii="Calibri" w:hAnsi="Calibri" w:cs="Calibri"/>
              </w:rPr>
            </w:pPr>
            <w:r w:rsidRPr="00677DC2">
              <w:rPr>
                <w:rFonts w:ascii="Calibri" w:hAnsi="Calibri" w:cs="Calibri"/>
              </w:rPr>
              <w:t>1.500.000</w:t>
            </w:r>
          </w:p>
        </w:tc>
      </w:tr>
      <w:tr w:rsidR="00677DC2" w:rsidRPr="00677DC2" w14:paraId="69F3DCE6" w14:textId="77777777" w:rsidTr="00677DC2">
        <w:trPr>
          <w:trHeight w:val="73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3BC92518" w14:textId="77777777" w:rsidR="00677DC2" w:rsidRPr="00677DC2" w:rsidRDefault="00677DC2" w:rsidP="00677DC2">
            <w:pPr>
              <w:jc w:val="both"/>
              <w:rPr>
                <w:rFonts w:ascii="Calibri" w:hAnsi="Calibri" w:cs="Calibri"/>
              </w:rPr>
            </w:pPr>
            <w:proofErr w:type="spellStart"/>
            <w:r w:rsidRPr="00677DC2">
              <w:rPr>
                <w:rFonts w:ascii="Calibri" w:hAnsi="Calibri" w:cs="Calibri"/>
              </w:rPr>
              <w:t>N°</w:t>
            </w:r>
            <w:proofErr w:type="spellEnd"/>
            <w:r w:rsidRPr="00677DC2">
              <w:rPr>
                <w:rFonts w:ascii="Calibri" w:hAnsi="Calibri" w:cs="Calibri"/>
              </w:rPr>
              <w:t xml:space="preserve"> 21 Los gastos a favor del personal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2EA0CD61" w14:textId="77777777" w:rsidR="00677DC2" w:rsidRPr="00677DC2" w:rsidRDefault="00677DC2" w:rsidP="00677DC2">
            <w:pPr>
              <w:jc w:val="right"/>
              <w:rPr>
                <w:rFonts w:ascii="Calibri" w:hAnsi="Calibri" w:cs="Calibri"/>
              </w:rPr>
            </w:pPr>
            <w:r w:rsidRPr="00677DC2">
              <w:rPr>
                <w:rFonts w:ascii="Calibri" w:hAnsi="Calibri" w:cs="Calibri"/>
              </w:rPr>
              <w:t>500.000</w:t>
            </w:r>
          </w:p>
        </w:tc>
      </w:tr>
      <w:tr w:rsidR="00677DC2" w:rsidRPr="00677DC2" w14:paraId="64A39A38" w14:textId="77777777" w:rsidTr="00677DC2">
        <w:trPr>
          <w:trHeight w:val="73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4B6E5B84" w14:textId="77777777" w:rsidR="00677DC2" w:rsidRPr="00677DC2" w:rsidRDefault="00677DC2" w:rsidP="00677DC2">
            <w:pPr>
              <w:jc w:val="both"/>
              <w:rPr>
                <w:rFonts w:ascii="Calibri" w:hAnsi="Calibri" w:cs="Calibri"/>
              </w:rPr>
            </w:pPr>
            <w:proofErr w:type="spellStart"/>
            <w:r w:rsidRPr="00677DC2">
              <w:rPr>
                <w:rFonts w:ascii="Calibri" w:hAnsi="Calibri" w:cs="Calibri"/>
              </w:rPr>
              <w:t>N°</w:t>
            </w:r>
            <w:proofErr w:type="spellEnd"/>
            <w:r w:rsidRPr="00677DC2">
              <w:rPr>
                <w:rFonts w:ascii="Calibri" w:hAnsi="Calibri" w:cs="Calibri"/>
              </w:rPr>
              <w:t xml:space="preserve"> 22 Erogaciones en fincas colindantes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63B9A95F" w14:textId="77777777" w:rsidR="00677DC2" w:rsidRPr="00677DC2" w:rsidRDefault="00677DC2" w:rsidP="00677DC2">
            <w:pPr>
              <w:jc w:val="right"/>
              <w:rPr>
                <w:rFonts w:ascii="Calibri" w:hAnsi="Calibri" w:cs="Calibri"/>
              </w:rPr>
            </w:pPr>
            <w:r w:rsidRPr="00677DC2">
              <w:rPr>
                <w:rFonts w:ascii="Calibri" w:hAnsi="Calibri" w:cs="Calibri"/>
              </w:rPr>
              <w:t>400.000</w:t>
            </w:r>
          </w:p>
        </w:tc>
      </w:tr>
      <w:tr w:rsidR="00677DC2" w:rsidRPr="00677DC2" w14:paraId="37BC07F9" w14:textId="77777777" w:rsidTr="00677DC2">
        <w:trPr>
          <w:trHeight w:val="73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73604815" w14:textId="77777777" w:rsidR="00677DC2" w:rsidRPr="00677DC2" w:rsidRDefault="00677DC2" w:rsidP="00677DC2">
            <w:pPr>
              <w:jc w:val="both"/>
              <w:rPr>
                <w:rFonts w:ascii="Calibri" w:hAnsi="Calibri" w:cs="Calibri"/>
              </w:rPr>
            </w:pPr>
            <w:r w:rsidRPr="00677DC2">
              <w:rPr>
                <w:rFonts w:ascii="Calibri" w:hAnsi="Calibri" w:cs="Calibri"/>
              </w:rPr>
              <w:t xml:space="preserve">Compras a contribuyentes del IRE </w:t>
            </w:r>
            <w:proofErr w:type="spellStart"/>
            <w:r w:rsidRPr="00677DC2">
              <w:rPr>
                <w:rFonts w:ascii="Calibri" w:hAnsi="Calibri" w:cs="Calibri"/>
              </w:rPr>
              <w:t>Resimple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4FBA437E" w14:textId="77777777" w:rsidR="00677DC2" w:rsidRPr="00677DC2" w:rsidRDefault="00677DC2" w:rsidP="00677DC2">
            <w:pPr>
              <w:jc w:val="right"/>
              <w:rPr>
                <w:rFonts w:ascii="Calibri" w:hAnsi="Calibri" w:cs="Calibri"/>
              </w:rPr>
            </w:pPr>
            <w:r w:rsidRPr="00677DC2">
              <w:rPr>
                <w:rFonts w:ascii="Calibri" w:hAnsi="Calibri" w:cs="Calibri"/>
              </w:rPr>
              <w:t>600.000</w:t>
            </w:r>
          </w:p>
        </w:tc>
      </w:tr>
      <w:tr w:rsidR="00677DC2" w:rsidRPr="00677DC2" w14:paraId="3A76C3E0" w14:textId="77777777" w:rsidTr="00677DC2">
        <w:trPr>
          <w:trHeight w:val="75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438AB512" w14:textId="77777777" w:rsidR="00677DC2" w:rsidRPr="00677DC2" w:rsidRDefault="00677DC2" w:rsidP="00677DC2">
            <w:pPr>
              <w:jc w:val="both"/>
              <w:rPr>
                <w:rFonts w:ascii="Calibri" w:hAnsi="Calibri" w:cs="Calibri"/>
              </w:rPr>
            </w:pPr>
            <w:r w:rsidRPr="00677DC2">
              <w:rPr>
                <w:rFonts w:ascii="Calibri" w:hAnsi="Calibri" w:cs="Calibri"/>
              </w:rPr>
              <w:t xml:space="preserve">cuando el </w:t>
            </w:r>
            <w:r w:rsidRPr="00677DC2">
              <w:rPr>
                <w:rFonts w:ascii="Calibri" w:hAnsi="Calibri" w:cs="Calibri"/>
                <w:b/>
                <w:bCs/>
              </w:rPr>
              <w:t xml:space="preserve">dueño, socio o accionista perciba una remuneración </w:t>
            </w:r>
            <w:r w:rsidRPr="00677DC2">
              <w:rPr>
                <w:rFonts w:ascii="Calibri" w:hAnsi="Calibri" w:cs="Calibri"/>
                <w:b/>
                <w:bCs/>
                <w:u w:val="single"/>
              </w:rPr>
              <w:t>en su calidad de personal superior</w:t>
            </w:r>
            <w:r w:rsidRPr="00677DC2">
              <w:rPr>
                <w:rFonts w:ascii="Calibri" w:hAnsi="Calibri" w:cs="Calibri"/>
              </w:rPr>
              <w:t xml:space="preserve"> </w:t>
            </w:r>
            <w:r w:rsidRPr="00677DC2">
              <w:rPr>
                <w:rFonts w:ascii="Calibri" w:hAnsi="Calibri" w:cs="Calibri"/>
                <w:b/>
                <w:bCs/>
              </w:rPr>
              <w:t>de la empresa o entidad IRP o no – igual tiene limite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hideMark/>
          </w:tcPr>
          <w:p w14:paraId="3B5156AB" w14:textId="77777777" w:rsidR="00677DC2" w:rsidRPr="00677DC2" w:rsidRDefault="00677DC2" w:rsidP="00677DC2">
            <w:pPr>
              <w:jc w:val="right"/>
              <w:rPr>
                <w:rFonts w:ascii="Calibri" w:hAnsi="Calibri" w:cs="Calibri"/>
              </w:rPr>
            </w:pPr>
            <w:r w:rsidRPr="00677DC2">
              <w:rPr>
                <w:rFonts w:ascii="Calibri" w:hAnsi="Calibri" w:cs="Calibri"/>
              </w:rPr>
              <w:t>1.500.000</w:t>
            </w:r>
          </w:p>
        </w:tc>
      </w:tr>
      <w:tr w:rsidR="00677DC2" w:rsidRPr="00677DC2" w14:paraId="6E5ED3A4" w14:textId="77777777" w:rsidTr="00677DC2">
        <w:trPr>
          <w:trHeight w:val="733"/>
        </w:trPr>
        <w:tc>
          <w:tcPr>
            <w:tcW w:w="0" w:type="auto"/>
            <w:tcBorders>
              <w:top w:val="single" w:sz="8" w:space="0" w:color="000000"/>
              <w:left w:val="single" w:sz="8" w:space="0" w:color="000000"/>
              <w:bottom w:val="single" w:sz="8" w:space="0" w:color="000000"/>
              <w:right w:val="single" w:sz="8" w:space="0" w:color="000000"/>
            </w:tcBorders>
            <w:shd w:val="clear" w:color="auto" w:fill="8FAADC"/>
            <w:tcMar>
              <w:top w:w="15" w:type="dxa"/>
              <w:left w:w="73" w:type="dxa"/>
              <w:bottom w:w="0" w:type="dxa"/>
              <w:right w:w="73" w:type="dxa"/>
            </w:tcMar>
            <w:vAlign w:val="center"/>
            <w:hideMark/>
          </w:tcPr>
          <w:p w14:paraId="79453579" w14:textId="77777777" w:rsidR="00677DC2" w:rsidRPr="00677DC2" w:rsidRDefault="00677DC2" w:rsidP="00677DC2">
            <w:pPr>
              <w:jc w:val="both"/>
              <w:rPr>
                <w:rFonts w:ascii="Calibri" w:hAnsi="Calibri" w:cs="Calibri"/>
              </w:rPr>
            </w:pPr>
            <w:r w:rsidRPr="00677DC2">
              <w:rPr>
                <w:rFonts w:ascii="Calibri" w:hAnsi="Calibri" w:cs="Calibri"/>
                <w:b/>
                <w:bCs/>
              </w:rPr>
              <w:t>Total gastos con límite de deducibilidad</w:t>
            </w:r>
          </w:p>
        </w:tc>
        <w:tc>
          <w:tcPr>
            <w:tcW w:w="0" w:type="auto"/>
            <w:tcBorders>
              <w:top w:val="single" w:sz="8" w:space="0" w:color="000000"/>
              <w:left w:val="single" w:sz="8" w:space="0" w:color="000000"/>
              <w:bottom w:val="single" w:sz="8" w:space="0" w:color="000000"/>
              <w:right w:val="single" w:sz="8" w:space="0" w:color="000000"/>
            </w:tcBorders>
            <w:shd w:val="clear" w:color="auto" w:fill="8FAADC"/>
            <w:tcMar>
              <w:top w:w="15" w:type="dxa"/>
              <w:left w:w="73" w:type="dxa"/>
              <w:bottom w:w="0" w:type="dxa"/>
              <w:right w:w="73" w:type="dxa"/>
            </w:tcMar>
            <w:vAlign w:val="center"/>
            <w:hideMark/>
          </w:tcPr>
          <w:p w14:paraId="6F215FA3" w14:textId="77777777" w:rsidR="00677DC2" w:rsidRPr="00677DC2" w:rsidRDefault="00677DC2" w:rsidP="00677DC2">
            <w:pPr>
              <w:jc w:val="right"/>
              <w:rPr>
                <w:rFonts w:ascii="Calibri" w:hAnsi="Calibri" w:cs="Calibri"/>
              </w:rPr>
            </w:pPr>
            <w:r w:rsidRPr="00677DC2">
              <w:rPr>
                <w:rFonts w:ascii="Calibri" w:hAnsi="Calibri" w:cs="Calibri"/>
                <w:b/>
                <w:bCs/>
              </w:rPr>
              <w:t>6.000.000</w:t>
            </w:r>
          </w:p>
        </w:tc>
      </w:tr>
      <w:tr w:rsidR="00677DC2" w:rsidRPr="00677DC2" w14:paraId="51DD8197" w14:textId="77777777" w:rsidTr="00677DC2">
        <w:trPr>
          <w:trHeight w:val="733"/>
        </w:trPr>
        <w:tc>
          <w:tcPr>
            <w:tcW w:w="0" w:type="auto"/>
            <w:tcBorders>
              <w:top w:val="single" w:sz="8" w:space="0" w:color="000000"/>
              <w:left w:val="single" w:sz="8" w:space="0" w:color="000000"/>
              <w:bottom w:val="single" w:sz="8" w:space="0" w:color="000000"/>
              <w:right w:val="single" w:sz="8" w:space="0" w:color="000000"/>
            </w:tcBorders>
            <w:shd w:val="clear" w:color="auto" w:fill="002060"/>
            <w:tcMar>
              <w:top w:w="15" w:type="dxa"/>
              <w:left w:w="73" w:type="dxa"/>
              <w:bottom w:w="0" w:type="dxa"/>
              <w:right w:w="73" w:type="dxa"/>
            </w:tcMar>
            <w:vAlign w:val="center"/>
            <w:hideMark/>
          </w:tcPr>
          <w:p w14:paraId="46EA3C47" w14:textId="77777777" w:rsidR="00677DC2" w:rsidRPr="00677DC2" w:rsidRDefault="00677DC2" w:rsidP="00677DC2">
            <w:pPr>
              <w:jc w:val="both"/>
              <w:rPr>
                <w:rFonts w:ascii="Calibri" w:hAnsi="Calibri" w:cs="Calibri"/>
              </w:rPr>
            </w:pPr>
            <w:r w:rsidRPr="00677DC2">
              <w:rPr>
                <w:rFonts w:ascii="Calibri" w:hAnsi="Calibri" w:cs="Calibri"/>
                <w:b/>
                <w:bCs/>
              </w:rPr>
              <w:t>Gasto deducible hasta el 1% del ingreso bruto</w:t>
            </w:r>
          </w:p>
        </w:tc>
        <w:tc>
          <w:tcPr>
            <w:tcW w:w="0" w:type="auto"/>
            <w:tcBorders>
              <w:top w:val="single" w:sz="8" w:space="0" w:color="000000"/>
              <w:left w:val="single" w:sz="8" w:space="0" w:color="000000"/>
              <w:bottom w:val="single" w:sz="8" w:space="0" w:color="000000"/>
              <w:right w:val="single" w:sz="8" w:space="0" w:color="000000"/>
            </w:tcBorders>
            <w:shd w:val="clear" w:color="auto" w:fill="002060"/>
            <w:tcMar>
              <w:top w:w="15" w:type="dxa"/>
              <w:left w:w="73" w:type="dxa"/>
              <w:bottom w:w="0" w:type="dxa"/>
              <w:right w:w="73" w:type="dxa"/>
            </w:tcMar>
            <w:vAlign w:val="center"/>
            <w:hideMark/>
          </w:tcPr>
          <w:p w14:paraId="231759D2" w14:textId="77777777" w:rsidR="00677DC2" w:rsidRPr="00677DC2" w:rsidRDefault="00677DC2" w:rsidP="00677DC2">
            <w:pPr>
              <w:jc w:val="right"/>
              <w:rPr>
                <w:rFonts w:ascii="Calibri" w:hAnsi="Calibri" w:cs="Calibri"/>
              </w:rPr>
            </w:pPr>
            <w:r w:rsidRPr="00677DC2">
              <w:rPr>
                <w:rFonts w:ascii="Calibri" w:hAnsi="Calibri" w:cs="Calibri"/>
                <w:b/>
                <w:bCs/>
              </w:rPr>
              <w:t>3.514.281</w:t>
            </w:r>
          </w:p>
        </w:tc>
      </w:tr>
      <w:tr w:rsidR="00677DC2" w:rsidRPr="00677DC2" w14:paraId="71ED51A8" w14:textId="77777777" w:rsidTr="00677DC2">
        <w:trPr>
          <w:trHeight w:val="733"/>
        </w:trPr>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73" w:type="dxa"/>
              <w:bottom w:w="0" w:type="dxa"/>
              <w:right w:w="73" w:type="dxa"/>
            </w:tcMar>
            <w:vAlign w:val="center"/>
            <w:hideMark/>
          </w:tcPr>
          <w:p w14:paraId="39C14F74" w14:textId="77777777" w:rsidR="00677DC2" w:rsidRPr="00677DC2" w:rsidRDefault="00677DC2" w:rsidP="00677DC2">
            <w:pPr>
              <w:jc w:val="both"/>
              <w:rPr>
                <w:rFonts w:ascii="Calibri" w:hAnsi="Calibri" w:cs="Calibri"/>
              </w:rPr>
            </w:pPr>
            <w:r w:rsidRPr="00677DC2">
              <w:rPr>
                <w:rFonts w:ascii="Calibri" w:hAnsi="Calibri" w:cs="Calibri"/>
                <w:b/>
                <w:bCs/>
              </w:rPr>
              <w:t>Gasto GND</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73" w:type="dxa"/>
              <w:bottom w:w="0" w:type="dxa"/>
              <w:right w:w="73" w:type="dxa"/>
            </w:tcMar>
            <w:vAlign w:val="center"/>
            <w:hideMark/>
          </w:tcPr>
          <w:p w14:paraId="4811E790" w14:textId="77777777" w:rsidR="00677DC2" w:rsidRPr="00677DC2" w:rsidRDefault="00677DC2" w:rsidP="00677DC2">
            <w:pPr>
              <w:jc w:val="right"/>
              <w:rPr>
                <w:rFonts w:ascii="Calibri" w:hAnsi="Calibri" w:cs="Calibri"/>
              </w:rPr>
            </w:pPr>
            <w:r w:rsidRPr="00677DC2">
              <w:rPr>
                <w:rFonts w:ascii="Calibri" w:hAnsi="Calibri" w:cs="Calibri"/>
                <w:b/>
                <w:bCs/>
              </w:rPr>
              <w:t>2.485.719</w:t>
            </w:r>
          </w:p>
        </w:tc>
      </w:tr>
    </w:tbl>
    <w:p w14:paraId="74F891B9" w14:textId="55D7119B" w:rsidR="00263AD7" w:rsidRDefault="00263AD7" w:rsidP="00263AD7">
      <w:pPr>
        <w:jc w:val="both"/>
        <w:rPr>
          <w:rFonts w:ascii="Calibri" w:hAnsi="Calibri" w:cs="Calibri"/>
        </w:rPr>
      </w:pPr>
      <w:r>
        <w:rPr>
          <w:rFonts w:ascii="Calibri" w:hAnsi="Calibri" w:cs="Calibri"/>
        </w:rPr>
        <w:t xml:space="preserve"> </w:t>
      </w:r>
    </w:p>
    <w:sectPr w:rsidR="00263AD7" w:rsidSect="008D1C8E">
      <w:footerReference w:type="default" r:id="rId13"/>
      <w:pgSz w:w="11906" w:h="16838"/>
      <w:pgMar w:top="1417" w:right="1274" w:bottom="709" w:left="1418" w:header="708" w:footer="708" w:gutter="0"/>
      <w:pgBorders w:offsetFrom="page">
        <w:top w:val="single" w:sz="12" w:space="24" w:color="auto"/>
        <w:left w:val="single" w:sz="12" w:space="24" w:color="auto"/>
        <w:bottom w:val="single" w:sz="12" w:space="24" w:color="auto"/>
        <w:right w:val="single" w:sz="12" w:space="24" w:color="auto"/>
      </w:pgBorders>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VIVI" w:date="2019-12-06T22:01:00Z" w:initials="">
    <w:p w14:paraId="63618098"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En caso que no se aporte seguro social</w:t>
      </w:r>
    </w:p>
    <w:p w14:paraId="2E8F2747"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OJO</w:t>
      </w:r>
    </w:p>
  </w:comment>
  <w:comment w:id="5" w:author="VIVI" w:date="2019-12-06T21:57:00Z" w:initials="">
    <w:p w14:paraId="44E2A363"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Pérdida, solamente de lo comprado</w:t>
      </w:r>
    </w:p>
  </w:comment>
  <w:comment w:id="6" w:author="VIVI" w:date="2019-12-06T21:57:00Z" w:initials="">
    <w:p w14:paraId="45A2E994"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Antes era solamente para importadores y exportadores</w:t>
      </w:r>
    </w:p>
  </w:comment>
  <w:comment w:id="7" w:author="VIVI" w:date="2019-12-06T22:00:00Z" w:initials="">
    <w:p w14:paraId="15E799BA"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Gastos a favor del personal deducible</w:t>
      </w:r>
    </w:p>
    <w:p w14:paraId="71012891"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Habitación</w:t>
      </w:r>
    </w:p>
    <w:p w14:paraId="547E4520"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Víveres</w:t>
      </w:r>
    </w:p>
    <w:p w14:paraId="0B2EBF9C"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Provisiones</w:t>
      </w:r>
    </w:p>
    <w:p w14:paraId="1B797521"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Sepelios</w:t>
      </w:r>
    </w:p>
    <w:p w14:paraId="1D8F21F9"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Asistencia sanitaria</w:t>
      </w:r>
    </w:p>
    <w:p w14:paraId="1716FCAA"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Entrenamiento</w:t>
      </w:r>
    </w:p>
    <w:p w14:paraId="67E7C9DE"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Educación continúa </w:t>
      </w:r>
    </w:p>
    <w:p w14:paraId="423827C2"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Formación técnica o cultural</w:t>
      </w:r>
    </w:p>
  </w:comment>
  <w:comment w:id="8" w:author="VIVI" w:date="2019-12-06T22:07:00Z" w:initials="">
    <w:p w14:paraId="7F5A1CB5"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 7 Remuneraciones por servicios personales cuando no sea contribuyente de IRP</w:t>
      </w:r>
    </w:p>
    <w:p w14:paraId="3F0C46C9"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N° 8 Remuneración porcentual servicios personales que no sean contribuyentes del IRP</w:t>
      </w:r>
    </w:p>
    <w:p w14:paraId="550470C0"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N° 20 Las donaciones</w:t>
      </w:r>
    </w:p>
    <w:p w14:paraId="26664686"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N° 21 Los gastos a favor del personal</w:t>
      </w:r>
    </w:p>
    <w:p w14:paraId="3CAC552D"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N° 22 Erogaciones en fincas colindantes</w:t>
      </w:r>
    </w:p>
    <w:p w14:paraId="3A4C78AA"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Cuando el Dueño, socio o accionista cuando reciba una remuneración en su calidad de personal superior “Independientemente a que sea contribuyente de IRP”</w:t>
      </w:r>
    </w:p>
    <w:p w14:paraId="22BDD904" w14:textId="77777777" w:rsidR="00CE27BE" w:rsidRDefault="00CE27BE" w:rsidP="00CE27BE">
      <w:pPr>
        <w:widowControl w:val="0"/>
        <w:pBdr>
          <w:top w:val="nil"/>
          <w:left w:val="nil"/>
          <w:bottom w:val="nil"/>
          <w:right w:val="nil"/>
          <w:between w:val="nil"/>
        </w:pBdr>
        <w:spacing w:after="0" w:line="240" w:lineRule="auto"/>
        <w:rPr>
          <w:rFonts w:ascii="Arial" w:eastAsia="Arial" w:hAnsi="Arial" w:cs="Arial"/>
          <w:color w:val="000000"/>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E8F2747" w15:done="0"/>
  <w15:commentEx w15:paraId="44E2A363" w15:done="0"/>
  <w15:commentEx w15:paraId="45A2E994" w15:done="0"/>
  <w15:commentEx w15:paraId="423827C2" w15:done="0"/>
  <w15:commentEx w15:paraId="22BDD9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2D86EB6" w16cex:dateUtc="2019-12-07T01:01:00Z"/>
  <w16cex:commentExtensible w16cex:durableId="22D86EB7" w16cex:dateUtc="2019-12-07T00:57:00Z"/>
  <w16cex:commentExtensible w16cex:durableId="22D86EB8" w16cex:dateUtc="2019-12-07T00:57:00Z"/>
  <w16cex:commentExtensible w16cex:durableId="22D86EB9" w16cex:dateUtc="2019-12-07T01:00:00Z"/>
  <w16cex:commentExtensible w16cex:durableId="22D86EBA" w16cex:dateUtc="2019-12-07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E8F2747" w16cid:durableId="22D86EB6"/>
  <w16cid:commentId w16cid:paraId="44E2A363" w16cid:durableId="22D86EB7"/>
  <w16cid:commentId w16cid:paraId="45A2E994" w16cid:durableId="22D86EB8"/>
  <w16cid:commentId w16cid:paraId="423827C2" w16cid:durableId="22D86EB9"/>
  <w16cid:commentId w16cid:paraId="22BDD904" w16cid:durableId="22D86E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8B19B" w14:textId="77777777" w:rsidR="006909D7" w:rsidRDefault="006909D7" w:rsidP="00EB34FE">
      <w:pPr>
        <w:spacing w:after="0" w:line="240" w:lineRule="auto"/>
      </w:pPr>
      <w:r>
        <w:separator/>
      </w:r>
    </w:p>
  </w:endnote>
  <w:endnote w:type="continuationSeparator" w:id="0">
    <w:p w14:paraId="60AD01A8" w14:textId="77777777" w:rsidR="006909D7" w:rsidRDefault="006909D7" w:rsidP="00EB3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lang w:val="es-ES"/>
      </w:rPr>
      <w:id w:val="-1220897713"/>
      <w:docPartObj>
        <w:docPartGallery w:val="Page Numbers (Bottom of Page)"/>
        <w:docPartUnique/>
      </w:docPartObj>
    </w:sdtPr>
    <w:sdtContent>
      <w:p w14:paraId="72223390" w14:textId="25FFA65B" w:rsidR="00E70726" w:rsidRDefault="00E70726" w:rsidP="00E70726">
        <w:pPr>
          <w:pStyle w:val="Piedepgina"/>
          <w:pBdr>
            <w:top w:val="single" w:sz="12" w:space="1" w:color="auto"/>
          </w:pBd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lang w:val="es-ES"/>
          </w:rPr>
          <w:t xml:space="preserve">~ </w:t>
        </w:r>
        <w:r>
          <w:rPr>
            <w:rFonts w:eastAsiaTheme="minorEastAsia" w:cs="Times New Roman"/>
            <w:sz w:val="22"/>
            <w:szCs w:val="22"/>
          </w:rPr>
          <w:fldChar w:fldCharType="begin"/>
        </w:r>
        <w:r>
          <w:instrText>PAGE    \* MERGEFORMAT</w:instrText>
        </w:r>
        <w:r>
          <w:rPr>
            <w:rFonts w:eastAsiaTheme="minorEastAsia" w:cs="Times New Roman"/>
            <w:sz w:val="22"/>
            <w:szCs w:val="22"/>
          </w:rPr>
          <w:fldChar w:fldCharType="separate"/>
        </w:r>
        <w:r>
          <w:rPr>
            <w:rFonts w:asciiTheme="majorHAnsi" w:eastAsiaTheme="majorEastAsia" w:hAnsiTheme="majorHAnsi" w:cstheme="majorBidi"/>
            <w:sz w:val="28"/>
            <w:szCs w:val="28"/>
            <w:lang w:val="es-ES"/>
          </w:rPr>
          <w:t>2</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lang w:val="es-ES"/>
          </w:rPr>
          <w:t xml:space="preserve"> ~</w:t>
        </w:r>
      </w:p>
    </w:sdtContent>
  </w:sdt>
  <w:p w14:paraId="23E3470D" w14:textId="77777777" w:rsidR="00EB34FE" w:rsidRDefault="00EB34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8C552" w14:textId="77777777" w:rsidR="006909D7" w:rsidRDefault="006909D7" w:rsidP="00EB34FE">
      <w:pPr>
        <w:spacing w:after="0" w:line="240" w:lineRule="auto"/>
      </w:pPr>
      <w:r>
        <w:separator/>
      </w:r>
    </w:p>
  </w:footnote>
  <w:footnote w:type="continuationSeparator" w:id="0">
    <w:p w14:paraId="5177E632" w14:textId="77777777" w:rsidR="006909D7" w:rsidRDefault="006909D7" w:rsidP="00EB3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 o:bullet="t">
        <v:imagedata r:id="rId1" o:title="msoF739"/>
      </v:shape>
    </w:pict>
  </w:numPicBullet>
  <w:abstractNum w:abstractNumId="0" w15:restartNumberingAfterBreak="0">
    <w:nsid w:val="0204127C"/>
    <w:multiLevelType w:val="hybridMultilevel"/>
    <w:tmpl w:val="C256DE88"/>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3256291"/>
    <w:multiLevelType w:val="multilevel"/>
    <w:tmpl w:val="2EEA55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178342AE"/>
    <w:multiLevelType w:val="hybridMultilevel"/>
    <w:tmpl w:val="C18C8F30"/>
    <w:lvl w:ilvl="0" w:tplc="58F64252">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1DB30D2F"/>
    <w:multiLevelType w:val="hybridMultilevel"/>
    <w:tmpl w:val="F9A4CE14"/>
    <w:lvl w:ilvl="0" w:tplc="3C0A0007">
      <w:start w:val="1"/>
      <w:numFmt w:val="bullet"/>
      <w:lvlText w:val=""/>
      <w:lvlPicBulletId w:val="0"/>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15:restartNumberingAfterBreak="0">
    <w:nsid w:val="5C7D6CE7"/>
    <w:multiLevelType w:val="hybridMultilevel"/>
    <w:tmpl w:val="4E662E70"/>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 w15:restartNumberingAfterBreak="0">
    <w:nsid w:val="623E27F5"/>
    <w:multiLevelType w:val="multilevel"/>
    <w:tmpl w:val="14D6AC3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F913C1"/>
    <w:multiLevelType w:val="hybridMultilevel"/>
    <w:tmpl w:val="577A33F4"/>
    <w:lvl w:ilvl="0" w:tplc="3C0A0007">
      <w:start w:val="1"/>
      <w:numFmt w:val="bullet"/>
      <w:lvlText w:val=""/>
      <w:lvlPicBulletId w:val="0"/>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C566F65"/>
    <w:multiLevelType w:val="multilevel"/>
    <w:tmpl w:val="70A04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22261">
    <w:abstractNumId w:val="2"/>
  </w:num>
  <w:num w:numId="2" w16cid:durableId="138301672">
    <w:abstractNumId w:val="5"/>
  </w:num>
  <w:num w:numId="3" w16cid:durableId="1072392765">
    <w:abstractNumId w:val="1"/>
  </w:num>
  <w:num w:numId="4" w16cid:durableId="1395466653">
    <w:abstractNumId w:val="7"/>
  </w:num>
  <w:num w:numId="5" w16cid:durableId="1908418722">
    <w:abstractNumId w:val="0"/>
  </w:num>
  <w:num w:numId="6" w16cid:durableId="234366743">
    <w:abstractNumId w:val="4"/>
  </w:num>
  <w:num w:numId="7" w16cid:durableId="11225804">
    <w:abstractNumId w:val="6"/>
  </w:num>
  <w:num w:numId="8" w16cid:durableId="14520460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I">
    <w15:presenceInfo w15:providerId="None" w15:userId="VI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7BE"/>
    <w:rsid w:val="00024569"/>
    <w:rsid w:val="00044ADC"/>
    <w:rsid w:val="0009507C"/>
    <w:rsid w:val="00126452"/>
    <w:rsid w:val="00133394"/>
    <w:rsid w:val="001855AC"/>
    <w:rsid w:val="001F39BD"/>
    <w:rsid w:val="00203426"/>
    <w:rsid w:val="00263AD7"/>
    <w:rsid w:val="00286B99"/>
    <w:rsid w:val="002E0EEA"/>
    <w:rsid w:val="003930C3"/>
    <w:rsid w:val="00423DA3"/>
    <w:rsid w:val="004A031A"/>
    <w:rsid w:val="004D3226"/>
    <w:rsid w:val="00583334"/>
    <w:rsid w:val="005A7E0F"/>
    <w:rsid w:val="00621474"/>
    <w:rsid w:val="0064624C"/>
    <w:rsid w:val="00677DC2"/>
    <w:rsid w:val="006909D7"/>
    <w:rsid w:val="00760CAE"/>
    <w:rsid w:val="007667C2"/>
    <w:rsid w:val="008D1C8E"/>
    <w:rsid w:val="00930432"/>
    <w:rsid w:val="0096042C"/>
    <w:rsid w:val="009F67FB"/>
    <w:rsid w:val="00A679CC"/>
    <w:rsid w:val="00A86E2A"/>
    <w:rsid w:val="00A92889"/>
    <w:rsid w:val="00AC366D"/>
    <w:rsid w:val="00AD340D"/>
    <w:rsid w:val="00AE5FC8"/>
    <w:rsid w:val="00B1711B"/>
    <w:rsid w:val="00BA7C4E"/>
    <w:rsid w:val="00BE42E3"/>
    <w:rsid w:val="00BF6F06"/>
    <w:rsid w:val="00CD181C"/>
    <w:rsid w:val="00CE27BE"/>
    <w:rsid w:val="00D95429"/>
    <w:rsid w:val="00E04586"/>
    <w:rsid w:val="00E70726"/>
    <w:rsid w:val="00EB34FE"/>
    <w:rsid w:val="00FA6935"/>
    <w:rsid w:val="00FB606E"/>
    <w:rsid w:val="00FD3A2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79DDA"/>
  <w15:chartTrackingRefBased/>
  <w15:docId w15:val="{E8B08229-F1DC-476A-8132-FE4B272C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24569"/>
    <w:pPr>
      <w:keepNext/>
      <w:keepLines/>
      <w:spacing w:before="360" w:after="80"/>
      <w:outlineLvl w:val="0"/>
    </w:pPr>
    <w:rPr>
      <w:rFonts w:asciiTheme="majorHAnsi" w:eastAsiaTheme="majorEastAsia" w:hAnsiTheme="majorHAnsi" w:cstheme="majorBidi"/>
      <w:color w:val="0F4761" w:themeColor="accent1" w:themeShade="BF"/>
      <w:sz w:val="48"/>
      <w:szCs w:val="40"/>
    </w:rPr>
  </w:style>
  <w:style w:type="paragraph" w:styleId="Ttulo2">
    <w:name w:val="heading 2"/>
    <w:basedOn w:val="Normal"/>
    <w:next w:val="Normal"/>
    <w:link w:val="Ttulo2Car"/>
    <w:uiPriority w:val="9"/>
    <w:unhideWhenUsed/>
    <w:qFormat/>
    <w:rsid w:val="00CE27BE"/>
    <w:pPr>
      <w:keepNext/>
      <w:keepLines/>
      <w:shd w:val="clear" w:color="auto" w:fill="0B769F" w:themeFill="accent4" w:themeFillShade="BF"/>
      <w:spacing w:before="160" w:after="80"/>
      <w:outlineLvl w:val="1"/>
    </w:pPr>
    <w:rPr>
      <w:rFonts w:asciiTheme="majorHAnsi" w:eastAsiaTheme="majorEastAsia" w:hAnsiTheme="majorHAnsi" w:cstheme="majorBidi"/>
      <w:b/>
      <w:color w:val="FFFFFF" w:themeColor="background1"/>
      <w:sz w:val="32"/>
      <w:szCs w:val="32"/>
    </w:rPr>
  </w:style>
  <w:style w:type="paragraph" w:styleId="Ttulo3">
    <w:name w:val="heading 3"/>
    <w:basedOn w:val="Normal"/>
    <w:next w:val="Normal"/>
    <w:link w:val="Ttulo3Car"/>
    <w:uiPriority w:val="9"/>
    <w:unhideWhenUsed/>
    <w:qFormat/>
    <w:rsid w:val="00A86E2A"/>
    <w:pPr>
      <w:keepNext/>
      <w:keepLines/>
      <w:shd w:val="clear" w:color="auto" w:fill="00B0F0"/>
      <w:spacing w:before="160" w:after="80"/>
      <w:outlineLvl w:val="2"/>
    </w:pPr>
    <w:rPr>
      <w:rFonts w:eastAsiaTheme="majorEastAsia" w:cstheme="majorBidi"/>
      <w:b/>
      <w:color w:val="FFFFFF" w:themeColor="background1"/>
      <w:szCs w:val="28"/>
    </w:rPr>
  </w:style>
  <w:style w:type="paragraph" w:styleId="Ttulo4">
    <w:name w:val="heading 4"/>
    <w:basedOn w:val="Normal"/>
    <w:next w:val="Normal"/>
    <w:link w:val="Ttulo4Car"/>
    <w:uiPriority w:val="9"/>
    <w:semiHidden/>
    <w:unhideWhenUsed/>
    <w:qFormat/>
    <w:rsid w:val="00CE27B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E27B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E27B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E27B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E27B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E27B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4569"/>
    <w:rPr>
      <w:rFonts w:asciiTheme="majorHAnsi" w:eastAsiaTheme="majorEastAsia" w:hAnsiTheme="majorHAnsi" w:cstheme="majorBidi"/>
      <w:color w:val="0F4761" w:themeColor="accent1" w:themeShade="BF"/>
      <w:sz w:val="48"/>
      <w:szCs w:val="40"/>
    </w:rPr>
  </w:style>
  <w:style w:type="character" w:customStyle="1" w:styleId="Ttulo2Car">
    <w:name w:val="Título 2 Car"/>
    <w:basedOn w:val="Fuentedeprrafopredeter"/>
    <w:link w:val="Ttulo2"/>
    <w:uiPriority w:val="9"/>
    <w:rsid w:val="00CE27BE"/>
    <w:rPr>
      <w:rFonts w:asciiTheme="majorHAnsi" w:eastAsiaTheme="majorEastAsia" w:hAnsiTheme="majorHAnsi" w:cstheme="majorBidi"/>
      <w:b/>
      <w:color w:val="FFFFFF" w:themeColor="background1"/>
      <w:sz w:val="32"/>
      <w:szCs w:val="32"/>
      <w:shd w:val="clear" w:color="auto" w:fill="0B769F" w:themeFill="accent4" w:themeFillShade="BF"/>
    </w:rPr>
  </w:style>
  <w:style w:type="character" w:customStyle="1" w:styleId="Ttulo3Car">
    <w:name w:val="Título 3 Car"/>
    <w:basedOn w:val="Fuentedeprrafopredeter"/>
    <w:link w:val="Ttulo3"/>
    <w:uiPriority w:val="9"/>
    <w:rsid w:val="00A86E2A"/>
    <w:rPr>
      <w:rFonts w:eastAsiaTheme="majorEastAsia" w:cstheme="majorBidi"/>
      <w:b/>
      <w:color w:val="FFFFFF" w:themeColor="background1"/>
      <w:szCs w:val="28"/>
      <w:shd w:val="clear" w:color="auto" w:fill="00B0F0"/>
    </w:rPr>
  </w:style>
  <w:style w:type="character" w:customStyle="1" w:styleId="Ttulo4Car">
    <w:name w:val="Título 4 Car"/>
    <w:basedOn w:val="Fuentedeprrafopredeter"/>
    <w:link w:val="Ttulo4"/>
    <w:uiPriority w:val="9"/>
    <w:semiHidden/>
    <w:rsid w:val="00CE27B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E27B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E27B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E27B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E27B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E27BE"/>
    <w:rPr>
      <w:rFonts w:eastAsiaTheme="majorEastAsia" w:cstheme="majorBidi"/>
      <w:color w:val="272727" w:themeColor="text1" w:themeTint="D8"/>
    </w:rPr>
  </w:style>
  <w:style w:type="paragraph" w:styleId="Ttulo">
    <w:name w:val="Title"/>
    <w:basedOn w:val="Normal"/>
    <w:next w:val="Normal"/>
    <w:link w:val="TtuloCar"/>
    <w:uiPriority w:val="10"/>
    <w:qFormat/>
    <w:rsid w:val="00CE27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E27B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E27B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E27B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E27BE"/>
    <w:pPr>
      <w:spacing w:before="160"/>
      <w:jc w:val="center"/>
    </w:pPr>
    <w:rPr>
      <w:i/>
      <w:iCs/>
      <w:color w:val="404040" w:themeColor="text1" w:themeTint="BF"/>
    </w:rPr>
  </w:style>
  <w:style w:type="character" w:customStyle="1" w:styleId="CitaCar">
    <w:name w:val="Cita Car"/>
    <w:basedOn w:val="Fuentedeprrafopredeter"/>
    <w:link w:val="Cita"/>
    <w:uiPriority w:val="29"/>
    <w:rsid w:val="00CE27BE"/>
    <w:rPr>
      <w:i/>
      <w:iCs/>
      <w:color w:val="404040" w:themeColor="text1" w:themeTint="BF"/>
    </w:rPr>
  </w:style>
  <w:style w:type="paragraph" w:styleId="Prrafodelista">
    <w:name w:val="List Paragraph"/>
    <w:basedOn w:val="Normal"/>
    <w:uiPriority w:val="34"/>
    <w:qFormat/>
    <w:rsid w:val="00CE27BE"/>
    <w:pPr>
      <w:ind w:left="720"/>
      <w:contextualSpacing/>
    </w:pPr>
  </w:style>
  <w:style w:type="character" w:styleId="nfasisintenso">
    <w:name w:val="Intense Emphasis"/>
    <w:basedOn w:val="Fuentedeprrafopredeter"/>
    <w:uiPriority w:val="21"/>
    <w:qFormat/>
    <w:rsid w:val="00CE27BE"/>
    <w:rPr>
      <w:i/>
      <w:iCs/>
      <w:color w:val="0F4761" w:themeColor="accent1" w:themeShade="BF"/>
    </w:rPr>
  </w:style>
  <w:style w:type="paragraph" w:styleId="Citadestacada">
    <w:name w:val="Intense Quote"/>
    <w:basedOn w:val="Normal"/>
    <w:next w:val="Normal"/>
    <w:link w:val="CitadestacadaCar"/>
    <w:uiPriority w:val="30"/>
    <w:qFormat/>
    <w:rsid w:val="00CE27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E27BE"/>
    <w:rPr>
      <w:i/>
      <w:iCs/>
      <w:color w:val="0F4761" w:themeColor="accent1" w:themeShade="BF"/>
    </w:rPr>
  </w:style>
  <w:style w:type="character" w:styleId="Referenciaintensa">
    <w:name w:val="Intense Reference"/>
    <w:basedOn w:val="Fuentedeprrafopredeter"/>
    <w:uiPriority w:val="32"/>
    <w:qFormat/>
    <w:rsid w:val="00CE27BE"/>
    <w:rPr>
      <w:b/>
      <w:bCs/>
      <w:smallCaps/>
      <w:color w:val="0F4761" w:themeColor="accent1" w:themeShade="BF"/>
      <w:spacing w:val="5"/>
    </w:rPr>
  </w:style>
  <w:style w:type="character" w:styleId="Hipervnculo">
    <w:name w:val="Hyperlink"/>
    <w:basedOn w:val="Fuentedeprrafopredeter"/>
    <w:uiPriority w:val="99"/>
    <w:unhideWhenUsed/>
    <w:rsid w:val="00CD181C"/>
    <w:rPr>
      <w:color w:val="467886" w:themeColor="hyperlink"/>
      <w:u w:val="single"/>
    </w:rPr>
  </w:style>
  <w:style w:type="character" w:styleId="Mencinsinresolver">
    <w:name w:val="Unresolved Mention"/>
    <w:basedOn w:val="Fuentedeprrafopredeter"/>
    <w:uiPriority w:val="99"/>
    <w:semiHidden/>
    <w:unhideWhenUsed/>
    <w:rsid w:val="00CD181C"/>
    <w:rPr>
      <w:color w:val="605E5C"/>
      <w:shd w:val="clear" w:color="auto" w:fill="E1DFDD"/>
    </w:rPr>
  </w:style>
  <w:style w:type="paragraph" w:styleId="Sinespaciado">
    <w:name w:val="No Spacing"/>
    <w:link w:val="SinespaciadoCar"/>
    <w:uiPriority w:val="1"/>
    <w:qFormat/>
    <w:rsid w:val="00BF6F06"/>
    <w:pPr>
      <w:spacing w:after="0" w:line="240" w:lineRule="auto"/>
    </w:pPr>
    <w:rPr>
      <w:rFonts w:eastAsiaTheme="minorEastAsia"/>
      <w:kern w:val="0"/>
      <w:sz w:val="22"/>
      <w:szCs w:val="22"/>
      <w:lang w:eastAsia="es-PY"/>
      <w14:ligatures w14:val="none"/>
    </w:rPr>
  </w:style>
  <w:style w:type="character" w:customStyle="1" w:styleId="SinespaciadoCar">
    <w:name w:val="Sin espaciado Car"/>
    <w:basedOn w:val="Fuentedeprrafopredeter"/>
    <w:link w:val="Sinespaciado"/>
    <w:uiPriority w:val="1"/>
    <w:rsid w:val="00BF6F06"/>
    <w:rPr>
      <w:rFonts w:eastAsiaTheme="minorEastAsia"/>
      <w:kern w:val="0"/>
      <w:sz w:val="22"/>
      <w:szCs w:val="22"/>
      <w:lang w:eastAsia="es-PY"/>
      <w14:ligatures w14:val="none"/>
    </w:rPr>
  </w:style>
  <w:style w:type="paragraph" w:styleId="TtuloTDC">
    <w:name w:val="TOC Heading"/>
    <w:basedOn w:val="Ttulo1"/>
    <w:next w:val="Normal"/>
    <w:uiPriority w:val="39"/>
    <w:unhideWhenUsed/>
    <w:qFormat/>
    <w:rsid w:val="003930C3"/>
    <w:pPr>
      <w:spacing w:before="240" w:after="0" w:line="259" w:lineRule="auto"/>
      <w:outlineLvl w:val="9"/>
    </w:pPr>
    <w:rPr>
      <w:kern w:val="0"/>
      <w:sz w:val="32"/>
      <w:szCs w:val="32"/>
      <w:lang w:eastAsia="es-PY"/>
      <w14:ligatures w14:val="none"/>
    </w:rPr>
  </w:style>
  <w:style w:type="paragraph" w:styleId="TDC1">
    <w:name w:val="toc 1"/>
    <w:basedOn w:val="Normal"/>
    <w:next w:val="Normal"/>
    <w:autoRedefine/>
    <w:uiPriority w:val="39"/>
    <w:unhideWhenUsed/>
    <w:rsid w:val="003930C3"/>
    <w:pPr>
      <w:spacing w:after="100"/>
    </w:pPr>
  </w:style>
  <w:style w:type="paragraph" w:styleId="TDC2">
    <w:name w:val="toc 2"/>
    <w:basedOn w:val="Normal"/>
    <w:next w:val="Normal"/>
    <w:autoRedefine/>
    <w:uiPriority w:val="39"/>
    <w:unhideWhenUsed/>
    <w:rsid w:val="003930C3"/>
    <w:pPr>
      <w:spacing w:after="100"/>
      <w:ind w:left="240"/>
    </w:pPr>
  </w:style>
  <w:style w:type="paragraph" w:styleId="TDC3">
    <w:name w:val="toc 3"/>
    <w:basedOn w:val="Normal"/>
    <w:next w:val="Normal"/>
    <w:autoRedefine/>
    <w:uiPriority w:val="39"/>
    <w:unhideWhenUsed/>
    <w:rsid w:val="003930C3"/>
    <w:pPr>
      <w:spacing w:after="100"/>
      <w:ind w:left="480"/>
    </w:pPr>
  </w:style>
  <w:style w:type="paragraph" w:styleId="Encabezado">
    <w:name w:val="header"/>
    <w:basedOn w:val="Normal"/>
    <w:link w:val="EncabezadoCar"/>
    <w:uiPriority w:val="99"/>
    <w:unhideWhenUsed/>
    <w:rsid w:val="00EB34F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B34FE"/>
  </w:style>
  <w:style w:type="paragraph" w:styleId="Piedepgina">
    <w:name w:val="footer"/>
    <w:basedOn w:val="Normal"/>
    <w:link w:val="PiedepginaCar"/>
    <w:uiPriority w:val="99"/>
    <w:unhideWhenUsed/>
    <w:rsid w:val="00EB34F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B34FE"/>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778931">
      <w:bodyDiv w:val="1"/>
      <w:marLeft w:val="0"/>
      <w:marRight w:val="0"/>
      <w:marTop w:val="0"/>
      <w:marBottom w:val="0"/>
      <w:divBdr>
        <w:top w:val="none" w:sz="0" w:space="0" w:color="auto"/>
        <w:left w:val="none" w:sz="0" w:space="0" w:color="auto"/>
        <w:bottom w:val="none" w:sz="0" w:space="0" w:color="auto"/>
        <w:right w:val="none" w:sz="0" w:space="0" w:color="auto"/>
      </w:divBdr>
    </w:div>
    <w:div w:id="718285726">
      <w:bodyDiv w:val="1"/>
      <w:marLeft w:val="0"/>
      <w:marRight w:val="0"/>
      <w:marTop w:val="0"/>
      <w:marBottom w:val="0"/>
      <w:divBdr>
        <w:top w:val="none" w:sz="0" w:space="0" w:color="auto"/>
        <w:left w:val="none" w:sz="0" w:space="0" w:color="auto"/>
        <w:bottom w:val="none" w:sz="0" w:space="0" w:color="auto"/>
        <w:right w:val="none" w:sz="0" w:space="0" w:color="auto"/>
      </w:divBdr>
    </w:div>
    <w:div w:id="1276713972">
      <w:bodyDiv w:val="1"/>
      <w:marLeft w:val="0"/>
      <w:marRight w:val="0"/>
      <w:marTop w:val="0"/>
      <w:marBottom w:val="0"/>
      <w:divBdr>
        <w:top w:val="none" w:sz="0" w:space="0" w:color="auto"/>
        <w:left w:val="none" w:sz="0" w:space="0" w:color="auto"/>
        <w:bottom w:val="none" w:sz="0" w:space="0" w:color="auto"/>
        <w:right w:val="none" w:sz="0" w:space="0" w:color="auto"/>
      </w:divBdr>
    </w:div>
    <w:div w:id="1296789050">
      <w:bodyDiv w:val="1"/>
      <w:marLeft w:val="0"/>
      <w:marRight w:val="0"/>
      <w:marTop w:val="0"/>
      <w:marBottom w:val="0"/>
      <w:divBdr>
        <w:top w:val="none" w:sz="0" w:space="0" w:color="auto"/>
        <w:left w:val="none" w:sz="0" w:space="0" w:color="auto"/>
        <w:bottom w:val="none" w:sz="0" w:space="0" w:color="auto"/>
        <w:right w:val="none" w:sz="0" w:space="0" w:color="auto"/>
      </w:divBdr>
    </w:div>
    <w:div w:id="209007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4C11F-A0D4-4AA6-91F0-07E5C673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15</Pages>
  <Words>4297</Words>
  <Characters>23639</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instituto técnico superior CONVERGENCIA COMERCIAL</Company>
  <LinksUpToDate>false</LinksUpToDate>
  <CharactersWithSpaces>27881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CIERRE CONTABLE Y TRIBUTARIO 2024</dc:title>
  <dc:subject/>
  <dc:creator>Mg. Viviana Mariel Sanabria Vazquez</dc:creator>
  <cp:keywords/>
  <dc:description/>
  <cp:lastModifiedBy>Viviana Mariel Sanabria Vazquez</cp:lastModifiedBy>
  <cp:revision>45</cp:revision>
  <dcterms:created xsi:type="dcterms:W3CDTF">2024-12-02T18:13:00Z</dcterms:created>
  <dcterms:modified xsi:type="dcterms:W3CDTF">2024-12-06T22:13:00Z</dcterms:modified>
</cp:coreProperties>
</file>